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Ind w:w="-198" w:type="dxa"/>
        <w:tblBorders>
          <w:bottom w:val="single" w:sz="36" w:space="0" w:color="FF0000"/>
        </w:tblBorders>
        <w:tblLook w:val="0000"/>
      </w:tblPr>
      <w:tblGrid>
        <w:gridCol w:w="2397"/>
        <w:gridCol w:w="5760"/>
        <w:gridCol w:w="2613"/>
      </w:tblGrid>
      <w:tr w:rsidR="00F47F7A">
        <w:trPr>
          <w:cantSplit/>
          <w:trHeight w:val="1350"/>
          <w:jc w:val="center"/>
        </w:trPr>
        <w:tc>
          <w:tcPr>
            <w:tcW w:w="10770" w:type="dxa"/>
            <w:gridSpan w:val="3"/>
            <w:tcBorders>
              <w:top w:val="single" w:sz="36" w:space="0" w:color="FF0000"/>
              <w:bottom w:val="single" w:sz="36" w:space="0" w:color="0000FF"/>
            </w:tcBorders>
            <w:vAlign w:val="bottom"/>
          </w:tcPr>
          <w:p w:rsidR="00F47F7A" w:rsidRDefault="00F47F7A">
            <w:pPr>
              <w:pStyle w:val="Title-Professional"/>
              <w:pBdr>
                <w:top w:val="none" w:sz="0" w:space="0" w:color="auto"/>
                <w:bottom w:val="none" w:sz="0" w:space="0" w:color="auto"/>
              </w:pBdr>
              <w:jc w:val="right"/>
              <w:rPr>
                <w:color w:val="003300"/>
                <w:sz w:val="36"/>
                <w:szCs w:val="36"/>
              </w:rPr>
            </w:pPr>
            <w:r>
              <w:rPr>
                <w:color w:val="FF0000"/>
                <w:sz w:val="36"/>
                <w:szCs w:val="36"/>
              </w:rPr>
              <w:t>EARLY WARNING BULLETIN</w:t>
            </w:r>
            <w:r>
              <w:rPr>
                <w:color w:val="003300"/>
                <w:sz w:val="36"/>
                <w:szCs w:val="36"/>
              </w:rPr>
              <w:t xml:space="preserve"> </w:t>
            </w:r>
            <w:r>
              <w:rPr>
                <w:color w:val="0000FF"/>
                <w:sz w:val="36"/>
                <w:szCs w:val="36"/>
              </w:rPr>
              <w:t>FOR FOOD SECURITY</w:t>
            </w:r>
          </w:p>
          <w:p w:rsidR="00F47F7A" w:rsidRDefault="00F47F7A">
            <w:pPr>
              <w:pStyle w:val="Heading1"/>
              <w:jc w:val="center"/>
              <w:rPr>
                <w:u w:val="none"/>
              </w:rPr>
            </w:pPr>
            <w:r>
              <w:rPr>
                <w:u w:val="none"/>
              </w:rPr>
              <w:t>No. 201</w:t>
            </w:r>
            <w:r w:rsidR="00055174">
              <w:rPr>
                <w:u w:val="none"/>
              </w:rPr>
              <w:t>4</w:t>
            </w:r>
            <w:r w:rsidR="002D089C">
              <w:rPr>
                <w:u w:val="none"/>
              </w:rPr>
              <w:t>/0</w:t>
            </w:r>
            <w:r w:rsidR="001F0391">
              <w:rPr>
                <w:u w:val="none"/>
              </w:rPr>
              <w:t>8</w:t>
            </w:r>
            <w:r w:rsidR="002D089C">
              <w:rPr>
                <w:u w:val="none"/>
              </w:rPr>
              <w:t xml:space="preserve"> </w:t>
            </w:r>
            <w:r>
              <w:rPr>
                <w:u w:val="none"/>
              </w:rPr>
              <w:t xml:space="preserve">                    </w:t>
            </w:r>
            <w:r>
              <w:rPr>
                <w:rFonts w:ascii="Tahoma" w:hAnsi="Tahoma" w:cs="Tahoma"/>
                <w:color w:val="003300"/>
                <w:sz w:val="36"/>
                <w:szCs w:val="36"/>
                <w:u w:val="none"/>
              </w:rPr>
              <w:t>IN THE GAMBIA</w:t>
            </w:r>
            <w:r>
              <w:rPr>
                <w:sz w:val="40"/>
                <w:szCs w:val="40"/>
                <w:u w:val="none"/>
              </w:rPr>
              <w:t xml:space="preserve">            </w:t>
            </w:r>
            <w:r>
              <w:rPr>
                <w:u w:val="none"/>
              </w:rPr>
              <w:t xml:space="preserve">Period: </w:t>
            </w:r>
            <w:r w:rsidR="00B608B3">
              <w:rPr>
                <w:u w:val="none"/>
              </w:rPr>
              <w:t>July</w:t>
            </w:r>
            <w:r w:rsidR="002D089C">
              <w:rPr>
                <w:u w:val="none"/>
              </w:rPr>
              <w:t xml:space="preserve"> </w:t>
            </w:r>
            <w:r w:rsidR="001F0391">
              <w:rPr>
                <w:u w:val="none"/>
              </w:rPr>
              <w:t>1</w:t>
            </w:r>
            <w:r w:rsidR="002D089C">
              <w:rPr>
                <w:u w:val="none"/>
              </w:rPr>
              <w:t>1-</w:t>
            </w:r>
            <w:r w:rsidR="001F0391">
              <w:rPr>
                <w:u w:val="none"/>
              </w:rPr>
              <w:t>2</w:t>
            </w:r>
            <w:r w:rsidR="002D089C">
              <w:rPr>
                <w:u w:val="none"/>
              </w:rPr>
              <w:t>0</w:t>
            </w:r>
            <w:r>
              <w:rPr>
                <w:u w:val="none"/>
              </w:rPr>
              <w:t>, 201</w:t>
            </w:r>
            <w:r w:rsidR="00055174">
              <w:rPr>
                <w:u w:val="none"/>
              </w:rPr>
              <w:t>4</w:t>
            </w:r>
          </w:p>
          <w:p w:rsidR="00F47F7A" w:rsidRDefault="00F47F7A">
            <w:pPr>
              <w:rPr>
                <w:sz w:val="16"/>
                <w:szCs w:val="16"/>
              </w:rPr>
            </w:pPr>
          </w:p>
        </w:tc>
      </w:tr>
      <w:tr w:rsidR="00F47F7A">
        <w:trPr>
          <w:trHeight w:val="1177"/>
          <w:jc w:val="center"/>
        </w:trPr>
        <w:tc>
          <w:tcPr>
            <w:tcW w:w="2397" w:type="dxa"/>
            <w:tcBorders>
              <w:top w:val="single" w:sz="36" w:space="0" w:color="0000FF"/>
              <w:bottom w:val="single" w:sz="36" w:space="0" w:color="008000"/>
            </w:tcBorders>
            <w:vAlign w:val="center"/>
          </w:tcPr>
          <w:p w:rsidR="00F47F7A" w:rsidRDefault="00F47F7A">
            <w:pPr>
              <w:pStyle w:val="BodyText-Professional"/>
              <w:rPr>
                <w:b/>
                <w:sz w:val="16"/>
                <w:szCs w:val="16"/>
              </w:rPr>
            </w:pPr>
            <w:r>
              <w:t xml:space="preserve">        </w:t>
            </w:r>
            <w:r w:rsidR="00A32F83">
              <w:rPr>
                <w:noProof/>
                <w:lang w:bidi="th-TH"/>
              </w:rPr>
              <w:drawing>
                <wp:inline distT="0" distB="0" distL="0" distR="0">
                  <wp:extent cx="657225" cy="657225"/>
                  <wp:effectExtent l="19050" t="0" r="9525" b="0"/>
                  <wp:docPr id="1" name="Picture 1" descr="Gambiaarm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arms21"/>
                          <pic:cNvPicPr>
                            <a:picLocks noChangeAspect="1" noChangeArrowheads="1"/>
                          </pic:cNvPicPr>
                        </pic:nvPicPr>
                        <pic:blipFill>
                          <a:blip r:embed="rId7"/>
                          <a:srcRect/>
                          <a:stretch>
                            <a:fillRect/>
                          </a:stretch>
                        </pic:blipFill>
                        <pic:spPr bwMode="auto">
                          <a:xfrm>
                            <a:off x="0" y="0"/>
                            <a:ext cx="657225" cy="657225"/>
                          </a:xfrm>
                          <a:prstGeom prst="rect">
                            <a:avLst/>
                          </a:prstGeom>
                          <a:noFill/>
                          <a:ln w="9525">
                            <a:noFill/>
                            <a:miter lim="800000"/>
                            <a:headEnd/>
                            <a:tailEnd/>
                          </a:ln>
                        </pic:spPr>
                      </pic:pic>
                    </a:graphicData>
                  </a:graphic>
                </wp:inline>
              </w:drawing>
            </w:r>
            <w:r>
              <w:t xml:space="preserve">  </w:t>
            </w:r>
            <w:r>
              <w:rPr>
                <w:rFonts w:ascii="Tahoma" w:hAnsi="Tahoma" w:cs="Tahoma"/>
                <w:b/>
                <w:bCs/>
                <w:sz w:val="14"/>
                <w:szCs w:val="16"/>
                <w:lang w:val="en-GB"/>
              </w:rPr>
              <w:t>Government of The Gambia</w:t>
            </w:r>
          </w:p>
        </w:tc>
        <w:tc>
          <w:tcPr>
            <w:tcW w:w="5760" w:type="dxa"/>
            <w:tcBorders>
              <w:top w:val="single" w:sz="36" w:space="0" w:color="0000FF"/>
              <w:bottom w:val="single" w:sz="36" w:space="0" w:color="008000"/>
            </w:tcBorders>
            <w:vAlign w:val="center"/>
          </w:tcPr>
          <w:p w:rsidR="00F47F7A" w:rsidRDefault="00F47F7A">
            <w:pPr>
              <w:pStyle w:val="BodyText-Professional"/>
              <w:ind w:left="0"/>
              <w:jc w:val="center"/>
            </w:pPr>
            <w:r>
              <w:t>Produced and Published b</w:t>
            </w:r>
            <w:r w:rsidR="00CC4925">
              <w:t xml:space="preserve">y The </w:t>
            </w:r>
            <w:r w:rsidR="00687DE2">
              <w:t>Gambia National Multidisciplinary Working Group</w:t>
            </w:r>
          </w:p>
          <w:p w:rsidR="00F47F7A" w:rsidRDefault="00F47F7A">
            <w:pPr>
              <w:jc w:val="center"/>
              <w:rPr>
                <w:b/>
                <w:sz w:val="18"/>
                <w:szCs w:val="18"/>
              </w:rPr>
            </w:pPr>
            <w:r>
              <w:rPr>
                <w:b/>
                <w:sz w:val="18"/>
                <w:szCs w:val="18"/>
              </w:rPr>
              <w:t>Focal Point: Department of Water Resources</w:t>
            </w:r>
          </w:p>
          <w:p w:rsidR="00F47F7A" w:rsidRDefault="00F47F7A">
            <w:pPr>
              <w:jc w:val="center"/>
              <w:rPr>
                <w:b/>
                <w:color w:val="FF0000"/>
                <w:sz w:val="18"/>
                <w:szCs w:val="18"/>
              </w:rPr>
            </w:pPr>
            <w:r>
              <w:rPr>
                <w:b/>
                <w:sz w:val="18"/>
                <w:szCs w:val="18"/>
              </w:rPr>
              <w:t>TEL: (+220) 4227631 /</w:t>
            </w:r>
            <w:r>
              <w:rPr>
                <w:b/>
                <w:sz w:val="20"/>
                <w:szCs w:val="20"/>
              </w:rPr>
              <w:t xml:space="preserve"> </w:t>
            </w:r>
            <w:r>
              <w:rPr>
                <w:b/>
                <w:sz w:val="18"/>
                <w:szCs w:val="18"/>
              </w:rPr>
              <w:t>4224122 / 8905229</w:t>
            </w:r>
            <w:r w:rsidRPr="00C7284B">
              <w:rPr>
                <w:sz w:val="18"/>
                <w:szCs w:val="18"/>
              </w:rPr>
              <w:t xml:space="preserve"> </w:t>
            </w:r>
            <w:r w:rsidRPr="00C7284B">
              <w:rPr>
                <w:b/>
                <w:bCs/>
                <w:sz w:val="18"/>
                <w:szCs w:val="18"/>
              </w:rPr>
              <w:t>-</w:t>
            </w:r>
            <w:r w:rsidRPr="00C7284B">
              <w:rPr>
                <w:sz w:val="18"/>
                <w:szCs w:val="18"/>
              </w:rPr>
              <w:t xml:space="preserve"> </w:t>
            </w:r>
            <w:r>
              <w:rPr>
                <w:b/>
                <w:sz w:val="18"/>
                <w:szCs w:val="18"/>
              </w:rPr>
              <w:t>FAX: (+220) 422 50 09</w:t>
            </w:r>
            <w:r w:rsidRPr="00C7284B">
              <w:rPr>
                <w:sz w:val="18"/>
                <w:szCs w:val="18"/>
              </w:rPr>
              <w:t xml:space="preserve">   </w:t>
            </w:r>
          </w:p>
          <w:p w:rsidR="00F47F7A" w:rsidRPr="00C7284B" w:rsidRDefault="00F47F7A">
            <w:pPr>
              <w:pStyle w:val="Heading3"/>
              <w:spacing w:before="0" w:after="0"/>
              <w:jc w:val="center"/>
              <w:rPr>
                <w:sz w:val="16"/>
                <w:szCs w:val="18"/>
                <w:lang w:val="en-US"/>
              </w:rPr>
            </w:pPr>
            <w:r w:rsidRPr="00C7284B">
              <w:rPr>
                <w:sz w:val="16"/>
                <w:szCs w:val="18"/>
                <w:lang w:val="en-US"/>
              </w:rPr>
              <w:t xml:space="preserve">E-MAIL: </w:t>
            </w:r>
            <w:r w:rsidRPr="00C7284B">
              <w:rPr>
                <w:color w:val="0000FF"/>
                <w:sz w:val="16"/>
                <w:szCs w:val="18"/>
                <w:lang w:val="en-US"/>
              </w:rPr>
              <w:t>dwr@mofwrnam.gov.gm</w:t>
            </w:r>
            <w:r>
              <w:rPr>
                <w:sz w:val="16"/>
                <w:szCs w:val="20"/>
              </w:rPr>
              <w:t xml:space="preserve">  /  WEB: </w:t>
            </w:r>
            <w:r>
              <w:rPr>
                <w:color w:val="0000FF"/>
                <w:sz w:val="16"/>
                <w:szCs w:val="20"/>
              </w:rPr>
              <w:t>www.mofwrnam.gov.gm</w:t>
            </w:r>
            <w:r w:rsidRPr="00C7284B">
              <w:rPr>
                <w:sz w:val="16"/>
                <w:szCs w:val="18"/>
                <w:lang w:val="en-US"/>
              </w:rPr>
              <w:t xml:space="preserve"> </w:t>
            </w:r>
          </w:p>
        </w:tc>
        <w:tc>
          <w:tcPr>
            <w:tcW w:w="2613" w:type="dxa"/>
            <w:tcBorders>
              <w:top w:val="single" w:sz="36" w:space="0" w:color="0000FF"/>
              <w:bottom w:val="single" w:sz="36" w:space="0" w:color="008000"/>
            </w:tcBorders>
            <w:vAlign w:val="center"/>
          </w:tcPr>
          <w:p w:rsidR="00F47F7A" w:rsidRPr="007F3718" w:rsidRDefault="00A32F83">
            <w:pPr>
              <w:pStyle w:val="Title-Professional"/>
              <w:pBdr>
                <w:top w:val="none" w:sz="0" w:space="0" w:color="auto"/>
                <w:bottom w:val="none" w:sz="0" w:space="0" w:color="auto"/>
              </w:pBdr>
              <w:outlineLvl w:val="9"/>
              <w:rPr>
                <w:rFonts w:ascii="Times New Roman" w:hAnsi="Times New Roman" w:cs="Times New Roman"/>
                <w:b w:val="0"/>
                <w:bCs w:val="0"/>
                <w:color w:val="auto"/>
                <w:sz w:val="20"/>
                <w:szCs w:val="20"/>
              </w:rPr>
            </w:pPr>
            <w:r>
              <w:rPr>
                <w:noProof/>
                <w:lang w:val="en-US" w:bidi="th-TH"/>
              </w:rPr>
              <w:drawing>
                <wp:inline distT="0" distB="0" distL="0" distR="0">
                  <wp:extent cx="638175" cy="514350"/>
                  <wp:effectExtent l="19050" t="0" r="9525" b="0"/>
                  <wp:docPr id="2" name="Image 2" descr="[Country flag of The Ga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untry flag of The Gambia]"/>
                          <pic:cNvPicPr>
                            <a:picLocks noChangeAspect="1" noChangeArrowheads="1"/>
                          </pic:cNvPicPr>
                        </pic:nvPicPr>
                        <pic:blipFill>
                          <a:blip r:embed="rId8"/>
                          <a:srcRect/>
                          <a:stretch>
                            <a:fillRect/>
                          </a:stretch>
                        </pic:blipFill>
                        <pic:spPr bwMode="auto">
                          <a:xfrm>
                            <a:off x="0" y="0"/>
                            <a:ext cx="638175" cy="514350"/>
                          </a:xfrm>
                          <a:prstGeom prst="rect">
                            <a:avLst/>
                          </a:prstGeom>
                          <a:noFill/>
                          <a:ln w="9525">
                            <a:noFill/>
                            <a:miter lim="800000"/>
                            <a:headEnd/>
                            <a:tailEnd/>
                          </a:ln>
                        </pic:spPr>
                      </pic:pic>
                    </a:graphicData>
                  </a:graphic>
                </wp:inline>
              </w:drawing>
            </w:r>
          </w:p>
        </w:tc>
      </w:tr>
    </w:tbl>
    <w:p w:rsidR="00F47F7A" w:rsidRDefault="00F47F7A">
      <w:pPr>
        <w:pStyle w:val="BodyText"/>
        <w:jc w:val="both"/>
        <w:rPr>
          <w:rFonts w:ascii="Tahoma" w:hAnsi="Tahoma" w:cs="Tahoma"/>
          <w:b w:val="0"/>
          <w:sz w:val="18"/>
          <w:szCs w:val="18"/>
        </w:rPr>
      </w:pPr>
    </w:p>
    <w:p w:rsidR="00F47F7A" w:rsidRPr="00D32534" w:rsidRDefault="00AA5295" w:rsidP="00480043">
      <w:pPr>
        <w:tabs>
          <w:tab w:val="left" w:pos="3420"/>
        </w:tabs>
        <w:jc w:val="both"/>
        <w:rPr>
          <w:b/>
          <w:bCs/>
        </w:rPr>
      </w:pPr>
      <w:r w:rsidRPr="00D32534">
        <w:rPr>
          <w:b/>
          <w:bCs/>
        </w:rPr>
        <w:tab/>
      </w:r>
    </w:p>
    <w:p w:rsidR="00F47F7A" w:rsidRPr="00D32534" w:rsidRDefault="00090B69" w:rsidP="00480043">
      <w:pPr>
        <w:jc w:val="both"/>
        <w:rPr>
          <w:b/>
          <w:bCs/>
        </w:rPr>
      </w:pPr>
      <w:r w:rsidRPr="00D32534">
        <w:rPr>
          <w:b/>
          <w:bCs/>
        </w:rPr>
        <w:t xml:space="preserve">1.0 </w:t>
      </w:r>
      <w:r w:rsidR="0086428D" w:rsidRPr="00D32534">
        <w:rPr>
          <w:b/>
          <w:bCs/>
        </w:rPr>
        <w:t>METEOROLOGICAL SITUATION</w:t>
      </w:r>
    </w:p>
    <w:p w:rsidR="00480043" w:rsidRDefault="00480043" w:rsidP="00480043">
      <w:pPr>
        <w:jc w:val="both"/>
        <w:rPr>
          <w:b/>
        </w:rPr>
      </w:pPr>
    </w:p>
    <w:p w:rsidR="00480043" w:rsidRPr="0076509B" w:rsidRDefault="00480043" w:rsidP="00480043">
      <w:pPr>
        <w:jc w:val="both"/>
        <w:rPr>
          <w:b/>
        </w:rPr>
      </w:pPr>
      <w:r>
        <w:rPr>
          <w:b/>
        </w:rPr>
        <w:t xml:space="preserve">1.1. </w:t>
      </w:r>
      <w:r w:rsidRPr="0076509B">
        <w:rPr>
          <w:b/>
        </w:rPr>
        <w:t>SYNOPTIC SITUATION:</w:t>
      </w:r>
    </w:p>
    <w:p w:rsidR="00480043" w:rsidRDefault="00480043" w:rsidP="00480043">
      <w:pPr>
        <w:jc w:val="both"/>
      </w:pPr>
    </w:p>
    <w:p w:rsidR="00480043" w:rsidRDefault="00480043" w:rsidP="00480043">
      <w:pPr>
        <w:jc w:val="both"/>
      </w:pPr>
      <w:r>
        <w:t>The average surface position of the ITD oscillated over southern Mauritania, central Mali and southern Niger.</w:t>
      </w:r>
    </w:p>
    <w:p w:rsidR="00480043" w:rsidRDefault="00480043" w:rsidP="00480043">
      <w:pPr>
        <w:jc w:val="both"/>
      </w:pPr>
    </w:p>
    <w:p w:rsidR="00480043" w:rsidRDefault="00480043" w:rsidP="00480043">
      <w:pPr>
        <w:jc w:val="both"/>
      </w:pPr>
      <w:r>
        <w:t>Dry and stable atmosphere prevailed to the north of the ITD with dust</w:t>
      </w:r>
      <w:r w:rsidR="00060702">
        <w:t>/</w:t>
      </w:r>
      <w:r>
        <w:t>haze patches observed mostly over Mauritania and northern Algeria. On the other hand, convective activities prevailed to the south of the ITD especially over southern Mali and the Gulf of Guinea States.</w:t>
      </w:r>
    </w:p>
    <w:p w:rsidR="00480043" w:rsidRDefault="00480043" w:rsidP="00480043">
      <w:pPr>
        <w:jc w:val="both"/>
      </w:pPr>
    </w:p>
    <w:p w:rsidR="00480043" w:rsidRDefault="00480043" w:rsidP="00480043">
      <w:pPr>
        <w:jc w:val="both"/>
        <w:rPr>
          <w:b/>
        </w:rPr>
      </w:pPr>
    </w:p>
    <w:p w:rsidR="00480043" w:rsidRDefault="00480043" w:rsidP="00480043">
      <w:pPr>
        <w:jc w:val="both"/>
        <w:rPr>
          <w:b/>
        </w:rPr>
      </w:pPr>
      <w:r>
        <w:rPr>
          <w:b/>
        </w:rPr>
        <w:t xml:space="preserve">1.2. </w:t>
      </w:r>
      <w:r w:rsidRPr="0076509B">
        <w:rPr>
          <w:b/>
        </w:rPr>
        <w:t>WEATHER SUMMARY FOR THE GAMBIA</w:t>
      </w:r>
    </w:p>
    <w:p w:rsidR="00AA34D8" w:rsidRDefault="00AA34D8" w:rsidP="00480043">
      <w:pPr>
        <w:jc w:val="both"/>
        <w:rPr>
          <w:b/>
        </w:rPr>
      </w:pPr>
    </w:p>
    <w:p w:rsidR="00480043" w:rsidRDefault="00480043" w:rsidP="00480043">
      <w:pPr>
        <w:jc w:val="both"/>
      </w:pPr>
      <w:r w:rsidRPr="00071126">
        <w:t xml:space="preserve">Variably cloudy, warm and humid atmosphere prevailed, with rain and thunderstorms </w:t>
      </w:r>
      <w:r w:rsidR="00071126" w:rsidRPr="00071126">
        <w:t xml:space="preserve">across the country with highest decadal total recorded </w:t>
      </w:r>
      <w:r w:rsidRPr="00071126">
        <w:t>the eastern part</w:t>
      </w:r>
      <w:r w:rsidR="00071126" w:rsidRPr="00071126">
        <w:t>s</w:t>
      </w:r>
      <w:r w:rsidRPr="00071126">
        <w:t xml:space="preserve"> of the country during the dekad.</w:t>
      </w:r>
    </w:p>
    <w:p w:rsidR="00480043" w:rsidRDefault="00480043" w:rsidP="00480043">
      <w:pPr>
        <w:jc w:val="both"/>
      </w:pPr>
    </w:p>
    <w:p w:rsidR="00480043" w:rsidRDefault="00480043" w:rsidP="00480043">
      <w:pPr>
        <w:jc w:val="both"/>
        <w:rPr>
          <w:b/>
        </w:rPr>
      </w:pPr>
    </w:p>
    <w:p w:rsidR="00480043" w:rsidRDefault="00480043" w:rsidP="00480043">
      <w:pPr>
        <w:jc w:val="both"/>
        <w:rPr>
          <w:b/>
        </w:rPr>
      </w:pPr>
      <w:r>
        <w:rPr>
          <w:b/>
        </w:rPr>
        <w:t xml:space="preserve">1.3. </w:t>
      </w:r>
      <w:r w:rsidRPr="0076509B">
        <w:rPr>
          <w:b/>
        </w:rPr>
        <w:t>OUTLOOK FOR THE NEXT DEKAD</w:t>
      </w:r>
      <w:r w:rsidR="00071126">
        <w:rPr>
          <w:b/>
        </w:rPr>
        <w:t xml:space="preserve"> (21</w:t>
      </w:r>
      <w:r w:rsidR="00071126" w:rsidRPr="00071126">
        <w:rPr>
          <w:b/>
          <w:vertAlign w:val="superscript"/>
        </w:rPr>
        <w:t>st</w:t>
      </w:r>
      <w:r w:rsidR="00071126">
        <w:rPr>
          <w:b/>
        </w:rPr>
        <w:t xml:space="preserve"> to 31</w:t>
      </w:r>
      <w:r w:rsidR="00071126" w:rsidRPr="00071126">
        <w:rPr>
          <w:b/>
          <w:vertAlign w:val="superscript"/>
        </w:rPr>
        <w:t>st</w:t>
      </w:r>
      <w:r w:rsidR="00071126">
        <w:rPr>
          <w:b/>
        </w:rPr>
        <w:t xml:space="preserve"> July)</w:t>
      </w:r>
    </w:p>
    <w:p w:rsidR="00AA34D8" w:rsidRDefault="00AA34D8" w:rsidP="00480043">
      <w:pPr>
        <w:jc w:val="both"/>
        <w:rPr>
          <w:b/>
        </w:rPr>
      </w:pPr>
    </w:p>
    <w:p w:rsidR="00480043" w:rsidRDefault="00480043" w:rsidP="00480043">
      <w:pPr>
        <w:jc w:val="both"/>
      </w:pPr>
      <w:r>
        <w:t>Variably cloudy, humid and warm atmosphere combined with rain and thunderstorms is expected to prevail particularly over the eastern sector during the period.</w:t>
      </w:r>
    </w:p>
    <w:p w:rsidR="00AD6FEF" w:rsidRPr="00480043" w:rsidRDefault="00480043" w:rsidP="00480043">
      <w:pPr>
        <w:jc w:val="both"/>
      </w:pPr>
      <w:r>
        <w:t xml:space="preserve">  </w:t>
      </w:r>
    </w:p>
    <w:p w:rsidR="00BC5644" w:rsidRDefault="00BC5644" w:rsidP="00480043">
      <w:pPr>
        <w:jc w:val="both"/>
        <w:rPr>
          <w:bCs/>
          <w:color w:val="FF0000"/>
        </w:rPr>
      </w:pPr>
    </w:p>
    <w:p w:rsidR="00090B69" w:rsidRPr="00D32534" w:rsidRDefault="00EF5E5B" w:rsidP="00480043">
      <w:pPr>
        <w:jc w:val="both"/>
        <w:rPr>
          <w:b/>
          <w:bCs/>
        </w:rPr>
      </w:pPr>
      <w:r w:rsidRPr="00D32534">
        <w:rPr>
          <w:b/>
          <w:bCs/>
        </w:rPr>
        <w:t>2.</w:t>
      </w:r>
      <w:r w:rsidR="00677BB8" w:rsidRPr="00D32534">
        <w:rPr>
          <w:b/>
          <w:bCs/>
        </w:rPr>
        <w:t>0 AGROMETEOROLOGICAL SITUATION</w:t>
      </w:r>
    </w:p>
    <w:p w:rsidR="00090B69" w:rsidRPr="00D32534" w:rsidRDefault="00090B69" w:rsidP="00480043">
      <w:pPr>
        <w:jc w:val="both"/>
        <w:rPr>
          <w:b/>
          <w:bCs/>
        </w:rPr>
      </w:pPr>
    </w:p>
    <w:p w:rsidR="00677BB8" w:rsidRDefault="00677BB8" w:rsidP="00480043">
      <w:pPr>
        <w:jc w:val="both"/>
        <w:rPr>
          <w:b/>
          <w:bCs/>
        </w:rPr>
      </w:pPr>
      <w:r w:rsidRPr="00D32534">
        <w:rPr>
          <w:b/>
          <w:bCs/>
        </w:rPr>
        <w:t xml:space="preserve">2.1 </w:t>
      </w:r>
      <w:r w:rsidR="00F47F7A" w:rsidRPr="00D32534">
        <w:rPr>
          <w:b/>
          <w:bCs/>
        </w:rPr>
        <w:t>RAINFALL SITUATION</w:t>
      </w:r>
    </w:p>
    <w:p w:rsidR="00AA34D8" w:rsidRPr="00D32534" w:rsidRDefault="00AA34D8" w:rsidP="00480043">
      <w:pPr>
        <w:jc w:val="both"/>
        <w:rPr>
          <w:b/>
          <w:bCs/>
        </w:rPr>
      </w:pPr>
    </w:p>
    <w:p w:rsidR="00F47F7A" w:rsidRDefault="003B664A" w:rsidP="00480043">
      <w:pPr>
        <w:pStyle w:val="BodyText"/>
        <w:jc w:val="both"/>
        <w:rPr>
          <w:b w:val="0"/>
          <w:bCs w:val="0"/>
          <w:sz w:val="24"/>
        </w:rPr>
      </w:pPr>
      <w:r>
        <w:rPr>
          <w:b w:val="0"/>
          <w:sz w:val="24"/>
        </w:rPr>
        <w:t>The rainfall situation in this</w:t>
      </w:r>
      <w:r w:rsidR="00382A4A">
        <w:rPr>
          <w:b w:val="0"/>
          <w:sz w:val="24"/>
        </w:rPr>
        <w:t xml:space="preserve"> dekad was</w:t>
      </w:r>
      <w:r>
        <w:rPr>
          <w:b w:val="0"/>
          <w:sz w:val="24"/>
        </w:rPr>
        <w:t xml:space="preserve"> favourable</w:t>
      </w:r>
      <w:r w:rsidR="00313B2D">
        <w:rPr>
          <w:b w:val="0"/>
          <w:sz w:val="24"/>
        </w:rPr>
        <w:t xml:space="preserve"> in most parts of the </w:t>
      </w:r>
      <w:r w:rsidR="00332FE4">
        <w:rPr>
          <w:b w:val="0"/>
          <w:sz w:val="24"/>
        </w:rPr>
        <w:t>country</w:t>
      </w:r>
      <w:r w:rsidR="006C6DB7">
        <w:rPr>
          <w:b w:val="0"/>
          <w:sz w:val="24"/>
        </w:rPr>
        <w:t xml:space="preserve"> compared to the previous dekads. </w:t>
      </w:r>
      <w:r w:rsidR="00332FE4">
        <w:rPr>
          <w:b w:val="0"/>
          <w:sz w:val="24"/>
        </w:rPr>
        <w:t>Rainfall</w:t>
      </w:r>
      <w:r>
        <w:rPr>
          <w:b w:val="0"/>
          <w:sz w:val="24"/>
        </w:rPr>
        <w:t xml:space="preserve"> dekadal</w:t>
      </w:r>
      <w:r w:rsidR="00AA79AD">
        <w:rPr>
          <w:b w:val="0"/>
          <w:sz w:val="24"/>
        </w:rPr>
        <w:t xml:space="preserve"> </w:t>
      </w:r>
      <w:r>
        <w:rPr>
          <w:b w:val="0"/>
          <w:sz w:val="24"/>
        </w:rPr>
        <w:t>total of 111.4mm</w:t>
      </w:r>
      <w:r w:rsidR="00313B2D">
        <w:rPr>
          <w:b w:val="0"/>
          <w:sz w:val="24"/>
        </w:rPr>
        <w:t xml:space="preserve"> </w:t>
      </w:r>
      <w:r w:rsidR="006C6DB7">
        <w:rPr>
          <w:b w:val="0"/>
          <w:sz w:val="24"/>
        </w:rPr>
        <w:t>(</w:t>
      </w:r>
      <w:r w:rsidR="00313B2D">
        <w:rPr>
          <w:b w:val="0"/>
          <w:sz w:val="24"/>
        </w:rPr>
        <w:t>highest in the dekad</w:t>
      </w:r>
      <w:r w:rsidR="006C6DB7">
        <w:rPr>
          <w:b w:val="0"/>
          <w:sz w:val="24"/>
        </w:rPr>
        <w:t>)</w:t>
      </w:r>
      <w:r w:rsidR="00313B2D">
        <w:rPr>
          <w:b w:val="0"/>
          <w:sz w:val="24"/>
        </w:rPr>
        <w:t xml:space="preserve"> was recorded in Basse in the </w:t>
      </w:r>
      <w:r w:rsidR="00313B2D" w:rsidRPr="00D32534">
        <w:rPr>
          <w:b w:val="0"/>
          <w:bCs w:val="0"/>
          <w:sz w:val="24"/>
        </w:rPr>
        <w:t xml:space="preserve">Eastern </w:t>
      </w:r>
      <w:r w:rsidR="00313B2D">
        <w:rPr>
          <w:b w:val="0"/>
          <w:bCs w:val="0"/>
          <w:sz w:val="24"/>
        </w:rPr>
        <w:t>Third of the country,</w:t>
      </w:r>
      <w:r w:rsidR="00071126">
        <w:rPr>
          <w:b w:val="0"/>
          <w:bCs w:val="0"/>
          <w:sz w:val="24"/>
        </w:rPr>
        <w:t xml:space="preserve"> </w:t>
      </w:r>
      <w:r w:rsidR="00313B2D">
        <w:rPr>
          <w:b w:val="0"/>
          <w:bCs w:val="0"/>
          <w:sz w:val="24"/>
        </w:rPr>
        <w:t xml:space="preserve">in the </w:t>
      </w:r>
      <w:r w:rsidR="00313B2D">
        <w:rPr>
          <w:b w:val="0"/>
          <w:sz w:val="24"/>
        </w:rPr>
        <w:t>Middle Third</w:t>
      </w:r>
      <w:r w:rsidR="006C6DB7">
        <w:rPr>
          <w:b w:val="0"/>
          <w:sz w:val="24"/>
        </w:rPr>
        <w:t xml:space="preserve"> </w:t>
      </w:r>
      <w:r w:rsidR="00332FE4">
        <w:rPr>
          <w:b w:val="0"/>
          <w:sz w:val="24"/>
        </w:rPr>
        <w:t>a</w:t>
      </w:r>
      <w:r w:rsidR="00313B2D">
        <w:rPr>
          <w:b w:val="0"/>
          <w:sz w:val="24"/>
        </w:rPr>
        <w:t xml:space="preserve"> total of 28.0mm </w:t>
      </w:r>
      <w:r w:rsidR="006C6DB7">
        <w:rPr>
          <w:b w:val="0"/>
          <w:sz w:val="24"/>
        </w:rPr>
        <w:t>(</w:t>
      </w:r>
      <w:r w:rsidR="00313B2D">
        <w:rPr>
          <w:b w:val="0"/>
          <w:sz w:val="24"/>
        </w:rPr>
        <w:t>highest</w:t>
      </w:r>
      <w:r w:rsidR="006C6DB7">
        <w:rPr>
          <w:b w:val="0"/>
          <w:sz w:val="24"/>
        </w:rPr>
        <w:t>)</w:t>
      </w:r>
      <w:r w:rsidR="00313B2D">
        <w:rPr>
          <w:b w:val="0"/>
          <w:sz w:val="24"/>
        </w:rPr>
        <w:t xml:space="preserve"> was recorded in Jenoi,</w:t>
      </w:r>
      <w:r w:rsidR="006C6DB7">
        <w:rPr>
          <w:b w:val="0"/>
          <w:sz w:val="24"/>
        </w:rPr>
        <w:t xml:space="preserve"> </w:t>
      </w:r>
      <w:r w:rsidR="00313B2D">
        <w:rPr>
          <w:b w:val="0"/>
          <w:sz w:val="24"/>
        </w:rPr>
        <w:t>wh</w:t>
      </w:r>
      <w:r w:rsidR="006C6DB7">
        <w:rPr>
          <w:b w:val="0"/>
          <w:sz w:val="24"/>
        </w:rPr>
        <w:t xml:space="preserve">ilst </w:t>
      </w:r>
      <w:r w:rsidR="00313B2D">
        <w:rPr>
          <w:b w:val="0"/>
          <w:sz w:val="24"/>
        </w:rPr>
        <w:t xml:space="preserve">in the Western Third </w:t>
      </w:r>
      <w:r w:rsidR="00382A4A">
        <w:rPr>
          <w:b w:val="0"/>
          <w:sz w:val="24"/>
        </w:rPr>
        <w:t>S</w:t>
      </w:r>
      <w:r w:rsidR="00313B2D">
        <w:rPr>
          <w:b w:val="0"/>
          <w:sz w:val="24"/>
        </w:rPr>
        <w:t>ibanor</w:t>
      </w:r>
      <w:r w:rsidR="00382A4A">
        <w:rPr>
          <w:b w:val="0"/>
          <w:sz w:val="24"/>
        </w:rPr>
        <w:t xml:space="preserve"> recorded </w:t>
      </w:r>
      <w:r w:rsidR="00313B2D">
        <w:rPr>
          <w:b w:val="0"/>
          <w:sz w:val="24"/>
        </w:rPr>
        <w:t xml:space="preserve">74.2mm  highest </w:t>
      </w:r>
      <w:r w:rsidR="006C6DB7">
        <w:rPr>
          <w:b w:val="0"/>
          <w:sz w:val="24"/>
        </w:rPr>
        <w:t xml:space="preserve">for the region </w:t>
      </w:r>
      <w:r w:rsidR="003E4071">
        <w:rPr>
          <w:b w:val="0"/>
          <w:sz w:val="24"/>
        </w:rPr>
        <w:t>(figure</w:t>
      </w:r>
      <w:r w:rsidR="00AF297B" w:rsidRPr="00D32534">
        <w:rPr>
          <w:b w:val="0"/>
          <w:bCs w:val="0"/>
          <w:sz w:val="24"/>
        </w:rPr>
        <w:t xml:space="preserve"> 1</w:t>
      </w:r>
      <w:r w:rsidR="0045719E" w:rsidRPr="00D32534">
        <w:rPr>
          <w:b w:val="0"/>
          <w:bCs w:val="0"/>
          <w:sz w:val="24"/>
        </w:rPr>
        <w:t>a</w:t>
      </w:r>
      <w:r w:rsidR="00AF297B" w:rsidRPr="00D32534">
        <w:rPr>
          <w:b w:val="0"/>
          <w:bCs w:val="0"/>
          <w:sz w:val="24"/>
        </w:rPr>
        <w:t>)</w:t>
      </w:r>
      <w:r w:rsidR="00897798" w:rsidRPr="00D32534">
        <w:rPr>
          <w:b w:val="0"/>
          <w:bCs w:val="0"/>
          <w:sz w:val="24"/>
        </w:rPr>
        <w:t>.</w:t>
      </w:r>
    </w:p>
    <w:p w:rsidR="007F4293" w:rsidRDefault="007F4293" w:rsidP="00480043">
      <w:pPr>
        <w:pStyle w:val="BodyText"/>
        <w:jc w:val="both"/>
        <w:rPr>
          <w:bCs w:val="0"/>
          <w:sz w:val="24"/>
        </w:rPr>
      </w:pPr>
    </w:p>
    <w:p w:rsidR="0045719E" w:rsidRPr="00D32534" w:rsidRDefault="0045719E" w:rsidP="00480043">
      <w:pPr>
        <w:pStyle w:val="BodyText"/>
        <w:jc w:val="both"/>
        <w:rPr>
          <w:b w:val="0"/>
          <w:bCs w:val="0"/>
          <w:sz w:val="24"/>
        </w:rPr>
      </w:pPr>
      <w:r w:rsidRPr="00D32534">
        <w:rPr>
          <w:b w:val="0"/>
          <w:bCs w:val="0"/>
          <w:sz w:val="24"/>
        </w:rPr>
        <w:t>Seasonal</w:t>
      </w:r>
      <w:r w:rsidR="000E235E" w:rsidRPr="00D32534">
        <w:rPr>
          <w:b w:val="0"/>
          <w:bCs w:val="0"/>
          <w:sz w:val="24"/>
        </w:rPr>
        <w:t xml:space="preserve"> </w:t>
      </w:r>
      <w:r w:rsidR="00313B2D">
        <w:rPr>
          <w:b w:val="0"/>
          <w:bCs w:val="0"/>
          <w:sz w:val="24"/>
        </w:rPr>
        <w:t>total rainfall amounts increased significantly</w:t>
      </w:r>
      <w:r w:rsidR="000E235E" w:rsidRPr="00D32534">
        <w:rPr>
          <w:b w:val="0"/>
          <w:bCs w:val="0"/>
          <w:sz w:val="24"/>
        </w:rPr>
        <w:t xml:space="preserve"> in the</w:t>
      </w:r>
      <w:r w:rsidR="00313B2D">
        <w:rPr>
          <w:b w:val="0"/>
          <w:bCs w:val="0"/>
          <w:sz w:val="24"/>
        </w:rPr>
        <w:t xml:space="preserve"> Eastern </w:t>
      </w:r>
      <w:r w:rsidR="00B360BB">
        <w:rPr>
          <w:b w:val="0"/>
          <w:bCs w:val="0"/>
          <w:sz w:val="24"/>
        </w:rPr>
        <w:t>T</w:t>
      </w:r>
      <w:r w:rsidR="00313B2D">
        <w:rPr>
          <w:b w:val="0"/>
          <w:bCs w:val="0"/>
          <w:sz w:val="24"/>
        </w:rPr>
        <w:t xml:space="preserve">hird with </w:t>
      </w:r>
      <w:r w:rsidR="00332FE4">
        <w:rPr>
          <w:b w:val="0"/>
          <w:bCs w:val="0"/>
          <w:sz w:val="24"/>
        </w:rPr>
        <w:t>Fatoto and Basse recording totals of 304.9</w:t>
      </w:r>
      <w:r w:rsidR="005632B6">
        <w:rPr>
          <w:b w:val="0"/>
          <w:bCs w:val="0"/>
          <w:sz w:val="24"/>
        </w:rPr>
        <w:t xml:space="preserve">mm </w:t>
      </w:r>
      <w:r w:rsidR="00332FE4">
        <w:rPr>
          <w:b w:val="0"/>
          <w:bCs w:val="0"/>
          <w:sz w:val="24"/>
        </w:rPr>
        <w:t xml:space="preserve">and 313.9mm respectivey.In the Middle Third Sapu recorded the highest </w:t>
      </w:r>
      <w:r w:rsidR="00B360BB">
        <w:rPr>
          <w:b w:val="0"/>
          <w:bCs w:val="0"/>
          <w:sz w:val="24"/>
        </w:rPr>
        <w:t xml:space="preserve">of </w:t>
      </w:r>
      <w:r w:rsidR="00332FE4">
        <w:rPr>
          <w:b w:val="0"/>
          <w:bCs w:val="0"/>
          <w:sz w:val="24"/>
        </w:rPr>
        <w:t>124.0mm, while</w:t>
      </w:r>
      <w:r w:rsidR="003E4071">
        <w:rPr>
          <w:b w:val="0"/>
          <w:bCs w:val="0"/>
          <w:sz w:val="24"/>
        </w:rPr>
        <w:t xml:space="preserve"> in </w:t>
      </w:r>
      <w:r w:rsidR="00332FE4">
        <w:rPr>
          <w:b w:val="0"/>
          <w:bCs w:val="0"/>
          <w:sz w:val="24"/>
        </w:rPr>
        <w:t>the Western Third Sibanor recorded a total of 153.3mm.</w:t>
      </w:r>
      <w:r w:rsidR="00B360BB">
        <w:rPr>
          <w:b w:val="0"/>
          <w:bCs w:val="0"/>
          <w:sz w:val="24"/>
        </w:rPr>
        <w:t xml:space="preserve"> </w:t>
      </w:r>
      <w:r w:rsidR="00332FE4">
        <w:rPr>
          <w:b w:val="0"/>
          <w:bCs w:val="0"/>
          <w:sz w:val="24"/>
        </w:rPr>
        <w:t xml:space="preserve">However, the lowest </w:t>
      </w:r>
      <w:r w:rsidR="00B360BB">
        <w:rPr>
          <w:b w:val="0"/>
          <w:bCs w:val="0"/>
          <w:sz w:val="24"/>
        </w:rPr>
        <w:lastRenderedPageBreak/>
        <w:t>s</w:t>
      </w:r>
      <w:r w:rsidR="00332FE4">
        <w:rPr>
          <w:b w:val="0"/>
          <w:bCs w:val="0"/>
          <w:sz w:val="24"/>
        </w:rPr>
        <w:t>easonal rainfall total recorded so far is</w:t>
      </w:r>
      <w:r w:rsidR="00B360BB">
        <w:rPr>
          <w:b w:val="0"/>
          <w:bCs w:val="0"/>
          <w:sz w:val="24"/>
        </w:rPr>
        <w:t xml:space="preserve"> over </w:t>
      </w:r>
      <w:r w:rsidR="00332FE4">
        <w:rPr>
          <w:b w:val="0"/>
          <w:bCs w:val="0"/>
          <w:sz w:val="24"/>
        </w:rPr>
        <w:t>Banjul (31.8mm) the capital city in the Western Third of the country.</w:t>
      </w:r>
      <w:r w:rsidR="00332FE4" w:rsidRPr="00D32534">
        <w:rPr>
          <w:b w:val="0"/>
          <w:bCs w:val="0"/>
          <w:sz w:val="24"/>
        </w:rPr>
        <w:t xml:space="preserve"> (</w:t>
      </w:r>
      <w:r w:rsidR="00E023B2" w:rsidRPr="00D32534">
        <w:rPr>
          <w:b w:val="0"/>
          <w:bCs w:val="0"/>
          <w:sz w:val="24"/>
        </w:rPr>
        <w:t>Figure 1b)</w:t>
      </w:r>
      <w:r w:rsidR="005632B6">
        <w:rPr>
          <w:b w:val="0"/>
          <w:bCs w:val="0"/>
          <w:sz w:val="24"/>
        </w:rPr>
        <w:t>.</w:t>
      </w:r>
    </w:p>
    <w:p w:rsidR="00036697" w:rsidRPr="00D32534" w:rsidRDefault="00036697" w:rsidP="00480043">
      <w:pPr>
        <w:pStyle w:val="BodyText"/>
        <w:jc w:val="both"/>
        <w:rPr>
          <w:b w:val="0"/>
          <w:bCs w:val="0"/>
          <w:sz w:val="24"/>
        </w:rPr>
      </w:pPr>
    </w:p>
    <w:p w:rsidR="000B1BA5" w:rsidRDefault="000B1BA5" w:rsidP="00480043">
      <w:pPr>
        <w:jc w:val="both"/>
      </w:pPr>
    </w:p>
    <w:p w:rsidR="00F270B6" w:rsidRDefault="00382A4A" w:rsidP="000B1BA5">
      <w:r>
        <w:t xml:space="preserve">  </w:t>
      </w:r>
    </w:p>
    <w:p w:rsidR="00F270B6" w:rsidRDefault="00A32F83" w:rsidP="000B1BA5">
      <w:r>
        <w:rPr>
          <w:noProof/>
          <w:lang w:bidi="th-TH"/>
        </w:rPr>
        <w:drawing>
          <wp:inline distT="0" distB="0" distL="0" distR="0">
            <wp:extent cx="6229350" cy="18859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229350" cy="1885950"/>
                    </a:xfrm>
                    <a:prstGeom prst="rect">
                      <a:avLst/>
                    </a:prstGeom>
                    <a:noFill/>
                    <a:ln w="9525">
                      <a:noFill/>
                      <a:miter lim="800000"/>
                      <a:headEnd/>
                      <a:tailEnd/>
                    </a:ln>
                  </pic:spPr>
                </pic:pic>
              </a:graphicData>
            </a:graphic>
          </wp:inline>
        </w:drawing>
      </w:r>
    </w:p>
    <w:p w:rsidR="00F270B6" w:rsidRDefault="00F270B6" w:rsidP="000B1BA5"/>
    <w:p w:rsidR="000B1BA5" w:rsidRPr="000B1BA5" w:rsidRDefault="00C4399C" w:rsidP="000B1BA5">
      <w:pPr>
        <w:rPr>
          <w:b/>
          <w:i/>
        </w:rPr>
      </w:pPr>
      <w:r>
        <w:rPr>
          <w:b/>
          <w:i/>
        </w:rPr>
        <w:t xml:space="preserve">          </w:t>
      </w:r>
      <w:r w:rsidR="00F270B6">
        <w:rPr>
          <w:b/>
          <w:i/>
        </w:rPr>
        <w:t xml:space="preserve">Figure 1a: Rainfall totals </w:t>
      </w:r>
      <w:r w:rsidR="006105AC">
        <w:rPr>
          <w:b/>
          <w:i/>
        </w:rPr>
        <w:t>for 11</w:t>
      </w:r>
      <w:r w:rsidR="006105AC" w:rsidRPr="006105AC">
        <w:rPr>
          <w:b/>
          <w:i/>
          <w:vertAlign w:val="superscript"/>
        </w:rPr>
        <w:t>th</w:t>
      </w:r>
      <w:r w:rsidR="00F270B6">
        <w:rPr>
          <w:b/>
          <w:i/>
        </w:rPr>
        <w:t xml:space="preserve"> – </w:t>
      </w:r>
      <w:r w:rsidR="006105AC">
        <w:rPr>
          <w:b/>
          <w:i/>
        </w:rPr>
        <w:t>2</w:t>
      </w:r>
      <w:r w:rsidR="00AB49A0">
        <w:rPr>
          <w:b/>
          <w:i/>
        </w:rPr>
        <w:t>0</w:t>
      </w:r>
      <w:r w:rsidR="00AB49A0" w:rsidRPr="00F270B6">
        <w:rPr>
          <w:b/>
          <w:i/>
          <w:vertAlign w:val="superscript"/>
        </w:rPr>
        <w:t>th</w:t>
      </w:r>
      <w:r w:rsidR="00AB49A0" w:rsidRPr="000B1BA5">
        <w:rPr>
          <w:b/>
          <w:i/>
        </w:rPr>
        <w:t>Ju</w:t>
      </w:r>
      <w:r w:rsidR="00AB49A0">
        <w:rPr>
          <w:b/>
          <w:i/>
        </w:rPr>
        <w:t xml:space="preserve">ly </w:t>
      </w:r>
      <w:r w:rsidR="00AB49A0" w:rsidRPr="000B1BA5">
        <w:rPr>
          <w:b/>
          <w:i/>
        </w:rPr>
        <w:t>2014</w:t>
      </w:r>
      <w:r w:rsidR="000B1BA5" w:rsidRPr="000B1BA5">
        <w:rPr>
          <w:b/>
          <w:i/>
        </w:rPr>
        <w:t>.</w:t>
      </w:r>
    </w:p>
    <w:p w:rsidR="00036697" w:rsidRPr="00D32534" w:rsidRDefault="00036697" w:rsidP="00CC5FAC">
      <w:pPr>
        <w:pStyle w:val="BodyText"/>
        <w:jc w:val="both"/>
        <w:rPr>
          <w:b w:val="0"/>
          <w:bCs w:val="0"/>
          <w:sz w:val="24"/>
        </w:rPr>
      </w:pPr>
    </w:p>
    <w:p w:rsidR="001714D3" w:rsidRDefault="00F74311" w:rsidP="00950DFF">
      <w:pPr>
        <w:pStyle w:val="BodyText"/>
        <w:jc w:val="both"/>
        <w:rPr>
          <w:b w:val="0"/>
          <w:sz w:val="24"/>
        </w:rPr>
      </w:pPr>
      <w:r w:rsidRPr="00D32534">
        <w:rPr>
          <w:b w:val="0"/>
          <w:sz w:val="24"/>
        </w:rPr>
        <w:t xml:space="preserve">     </w:t>
      </w:r>
    </w:p>
    <w:p w:rsidR="001714D3" w:rsidRDefault="001714D3" w:rsidP="00950DFF">
      <w:pPr>
        <w:pStyle w:val="BodyText"/>
        <w:jc w:val="both"/>
        <w:rPr>
          <w:b w:val="0"/>
          <w:sz w:val="24"/>
        </w:rPr>
      </w:pPr>
    </w:p>
    <w:p w:rsidR="001714D3" w:rsidRDefault="00A32F83" w:rsidP="00950DFF">
      <w:pPr>
        <w:pStyle w:val="BodyText"/>
        <w:jc w:val="both"/>
        <w:rPr>
          <w:b w:val="0"/>
          <w:sz w:val="24"/>
        </w:rPr>
      </w:pPr>
      <w:r>
        <w:rPr>
          <w:b w:val="0"/>
          <w:noProof/>
          <w:sz w:val="24"/>
          <w:lang w:bidi="th-TH"/>
        </w:rPr>
        <w:drawing>
          <wp:inline distT="0" distB="0" distL="0" distR="0">
            <wp:extent cx="6229350" cy="2009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229350" cy="2009775"/>
                    </a:xfrm>
                    <a:prstGeom prst="rect">
                      <a:avLst/>
                    </a:prstGeom>
                    <a:noFill/>
                    <a:ln w="9525">
                      <a:noFill/>
                      <a:miter lim="800000"/>
                      <a:headEnd/>
                      <a:tailEnd/>
                    </a:ln>
                  </pic:spPr>
                </pic:pic>
              </a:graphicData>
            </a:graphic>
          </wp:inline>
        </w:drawing>
      </w:r>
    </w:p>
    <w:p w:rsidR="00B04B1D" w:rsidRPr="00B04B1D" w:rsidRDefault="00B04B1D" w:rsidP="00950DFF">
      <w:pPr>
        <w:pStyle w:val="BodyText"/>
        <w:jc w:val="both"/>
        <w:rPr>
          <w:b w:val="0"/>
          <w:i/>
          <w:sz w:val="24"/>
        </w:rPr>
      </w:pPr>
    </w:p>
    <w:p w:rsidR="00B04B1D" w:rsidRPr="00B04B1D" w:rsidRDefault="00B04B1D" w:rsidP="00B04B1D">
      <w:pPr>
        <w:rPr>
          <w:b/>
          <w:i/>
        </w:rPr>
      </w:pPr>
      <w:r w:rsidRPr="00B04B1D">
        <w:rPr>
          <w:b/>
          <w:i/>
        </w:rPr>
        <w:t xml:space="preserve">        Figure 1b: Rainfall totals from May 1</w:t>
      </w:r>
      <w:r w:rsidRPr="00B04B1D">
        <w:rPr>
          <w:b/>
          <w:i/>
          <w:vertAlign w:val="superscript"/>
        </w:rPr>
        <w:t>st</w:t>
      </w:r>
      <w:r w:rsidRPr="00B04B1D">
        <w:rPr>
          <w:b/>
          <w:i/>
        </w:rPr>
        <w:t xml:space="preserve"> 2014 – July 20</w:t>
      </w:r>
      <w:r w:rsidRPr="00B04B1D">
        <w:rPr>
          <w:b/>
          <w:i/>
          <w:vertAlign w:val="superscript"/>
        </w:rPr>
        <w:t>th</w:t>
      </w:r>
      <w:r w:rsidRPr="00B04B1D">
        <w:rPr>
          <w:b/>
          <w:i/>
        </w:rPr>
        <w:t xml:space="preserve"> 2014.</w:t>
      </w:r>
    </w:p>
    <w:p w:rsidR="00B04B1D" w:rsidRPr="00B04B1D" w:rsidRDefault="00B04B1D" w:rsidP="00B04B1D">
      <w:pPr>
        <w:rPr>
          <w:b/>
          <w:i/>
          <w:noProof/>
        </w:rPr>
      </w:pPr>
    </w:p>
    <w:p w:rsidR="00B04B1D" w:rsidRPr="00B04B1D" w:rsidRDefault="00B04B1D" w:rsidP="00B04B1D">
      <w:pPr>
        <w:pStyle w:val="BodyText"/>
        <w:jc w:val="both"/>
        <w:rPr>
          <w:b w:val="0"/>
          <w:sz w:val="24"/>
        </w:rPr>
      </w:pPr>
    </w:p>
    <w:p w:rsidR="00E66FDF" w:rsidRDefault="00B04B1D" w:rsidP="00E66FDF">
      <w:pPr>
        <w:pStyle w:val="BodyText"/>
        <w:jc w:val="both"/>
        <w:rPr>
          <w:b w:val="0"/>
          <w:bCs w:val="0"/>
          <w:sz w:val="24"/>
        </w:rPr>
      </w:pPr>
      <w:r w:rsidRPr="00B04B1D">
        <w:rPr>
          <w:i/>
        </w:rPr>
        <w:t xml:space="preserve">  </w:t>
      </w:r>
    </w:p>
    <w:p w:rsidR="00E66FDF" w:rsidRDefault="00E66FDF" w:rsidP="00E66FDF">
      <w:pPr>
        <w:pStyle w:val="BodyText"/>
        <w:jc w:val="both"/>
        <w:rPr>
          <w:bCs w:val="0"/>
          <w:sz w:val="24"/>
        </w:rPr>
      </w:pPr>
      <w:r w:rsidRPr="007F4293">
        <w:rPr>
          <w:bCs w:val="0"/>
          <w:sz w:val="24"/>
        </w:rPr>
        <w:t>2.2. JULY 2</w:t>
      </w:r>
      <w:r w:rsidRPr="007F4293">
        <w:rPr>
          <w:bCs w:val="0"/>
          <w:sz w:val="24"/>
          <w:vertAlign w:val="superscript"/>
        </w:rPr>
        <w:t>ND</w:t>
      </w:r>
      <w:r w:rsidRPr="007F4293">
        <w:rPr>
          <w:bCs w:val="0"/>
          <w:sz w:val="24"/>
        </w:rPr>
        <w:t xml:space="preserve"> DEKAD RAINFALL SEASONAL COMPARIS</w:t>
      </w:r>
      <w:r w:rsidR="00B360BB">
        <w:rPr>
          <w:bCs w:val="0"/>
          <w:sz w:val="24"/>
        </w:rPr>
        <w:t>ON</w:t>
      </w:r>
      <w:r w:rsidRPr="007F4293">
        <w:rPr>
          <w:bCs w:val="0"/>
          <w:sz w:val="24"/>
        </w:rPr>
        <w:t xml:space="preserve"> WITH THAT OF JULY 2ND DEKAD 2013 AND THE NORMAL 81_2010</w:t>
      </w:r>
      <w:r w:rsidR="00AA34D8">
        <w:rPr>
          <w:bCs w:val="0"/>
          <w:sz w:val="24"/>
        </w:rPr>
        <w:t>.</w:t>
      </w:r>
    </w:p>
    <w:p w:rsidR="00AA34D8" w:rsidRPr="007F4293" w:rsidRDefault="00AA34D8" w:rsidP="00E66FDF">
      <w:pPr>
        <w:pStyle w:val="BodyText"/>
        <w:jc w:val="both"/>
        <w:rPr>
          <w:bCs w:val="0"/>
          <w:sz w:val="24"/>
        </w:rPr>
      </w:pPr>
    </w:p>
    <w:p w:rsidR="00E66FDF" w:rsidRDefault="00E66FDF" w:rsidP="00E66FDF">
      <w:pPr>
        <w:pStyle w:val="BodyText"/>
        <w:jc w:val="both"/>
        <w:rPr>
          <w:b w:val="0"/>
          <w:bCs w:val="0"/>
          <w:sz w:val="24"/>
        </w:rPr>
      </w:pPr>
      <w:r w:rsidRPr="007F4293">
        <w:rPr>
          <w:b w:val="0"/>
          <w:bCs w:val="0"/>
          <w:sz w:val="24"/>
        </w:rPr>
        <w:t>The table below gives a detailed comparis</w:t>
      </w:r>
      <w:r w:rsidR="00B360BB">
        <w:rPr>
          <w:b w:val="0"/>
          <w:bCs w:val="0"/>
          <w:sz w:val="24"/>
        </w:rPr>
        <w:t xml:space="preserve">on </w:t>
      </w:r>
      <w:r w:rsidRPr="007F4293">
        <w:rPr>
          <w:b w:val="0"/>
          <w:bCs w:val="0"/>
          <w:sz w:val="24"/>
        </w:rPr>
        <w:t xml:space="preserve">between the seasonal rainfall totals for this dekad </w:t>
      </w:r>
      <w:r w:rsidR="00B360BB">
        <w:rPr>
          <w:b w:val="0"/>
          <w:bCs w:val="0"/>
          <w:sz w:val="24"/>
        </w:rPr>
        <w:t>(J</w:t>
      </w:r>
      <w:r w:rsidRPr="007F4293">
        <w:rPr>
          <w:b w:val="0"/>
          <w:bCs w:val="0"/>
          <w:sz w:val="24"/>
        </w:rPr>
        <w:t>uly 2</w:t>
      </w:r>
      <w:r w:rsidRPr="007F4293">
        <w:rPr>
          <w:b w:val="0"/>
          <w:bCs w:val="0"/>
          <w:sz w:val="24"/>
          <w:vertAlign w:val="superscript"/>
        </w:rPr>
        <w:t>nd</w:t>
      </w:r>
      <w:r w:rsidR="00B360BB">
        <w:rPr>
          <w:b w:val="0"/>
          <w:bCs w:val="0"/>
          <w:sz w:val="24"/>
        </w:rPr>
        <w:t xml:space="preserve">) </w:t>
      </w:r>
      <w:r w:rsidRPr="007F4293">
        <w:rPr>
          <w:b w:val="0"/>
          <w:bCs w:val="0"/>
          <w:sz w:val="24"/>
        </w:rPr>
        <w:t>and that</w:t>
      </w:r>
      <w:r w:rsidR="00B360BB">
        <w:rPr>
          <w:b w:val="0"/>
          <w:bCs w:val="0"/>
          <w:sz w:val="24"/>
        </w:rPr>
        <w:t xml:space="preserve"> </w:t>
      </w:r>
      <w:r w:rsidRPr="007F4293">
        <w:rPr>
          <w:b w:val="0"/>
          <w:bCs w:val="0"/>
          <w:sz w:val="24"/>
        </w:rPr>
        <w:t>of 2</w:t>
      </w:r>
      <w:r w:rsidRPr="007F4293">
        <w:rPr>
          <w:b w:val="0"/>
          <w:bCs w:val="0"/>
          <w:sz w:val="24"/>
          <w:vertAlign w:val="superscript"/>
        </w:rPr>
        <w:t>nd</w:t>
      </w:r>
      <w:r w:rsidRPr="007F4293">
        <w:rPr>
          <w:b w:val="0"/>
          <w:bCs w:val="0"/>
          <w:sz w:val="24"/>
        </w:rPr>
        <w:t xml:space="preserve"> Dekad </w:t>
      </w:r>
      <w:r w:rsidR="00B360BB">
        <w:rPr>
          <w:b w:val="0"/>
          <w:bCs w:val="0"/>
          <w:sz w:val="24"/>
        </w:rPr>
        <w:t>of J</w:t>
      </w:r>
      <w:r w:rsidRPr="007F4293">
        <w:rPr>
          <w:b w:val="0"/>
          <w:bCs w:val="0"/>
          <w:sz w:val="24"/>
        </w:rPr>
        <w:t>uly for 2013 and the de</w:t>
      </w:r>
      <w:r w:rsidR="00B360BB">
        <w:rPr>
          <w:b w:val="0"/>
          <w:bCs w:val="0"/>
          <w:sz w:val="24"/>
        </w:rPr>
        <w:t>k</w:t>
      </w:r>
      <w:r w:rsidRPr="007F4293">
        <w:rPr>
          <w:b w:val="0"/>
          <w:bCs w:val="0"/>
          <w:sz w:val="24"/>
        </w:rPr>
        <w:t xml:space="preserve">adal </w:t>
      </w:r>
      <w:r w:rsidR="00B360BB" w:rsidRPr="007F4293">
        <w:rPr>
          <w:b w:val="0"/>
          <w:bCs w:val="0"/>
          <w:sz w:val="24"/>
        </w:rPr>
        <w:t>normal</w:t>
      </w:r>
      <w:r w:rsidR="00B360BB">
        <w:rPr>
          <w:b w:val="0"/>
          <w:bCs w:val="0"/>
          <w:sz w:val="24"/>
        </w:rPr>
        <w:t>s</w:t>
      </w:r>
      <w:r w:rsidRPr="007F4293">
        <w:rPr>
          <w:b w:val="0"/>
          <w:bCs w:val="0"/>
          <w:sz w:val="24"/>
        </w:rPr>
        <w:t xml:space="preserve"> for 1981_2010.</w:t>
      </w:r>
      <w:r w:rsidR="00B360BB">
        <w:rPr>
          <w:b w:val="0"/>
          <w:bCs w:val="0"/>
          <w:sz w:val="24"/>
        </w:rPr>
        <w:t xml:space="preserve"> </w:t>
      </w:r>
      <w:r w:rsidRPr="007F4293">
        <w:rPr>
          <w:b w:val="0"/>
          <w:bCs w:val="0"/>
          <w:sz w:val="24"/>
        </w:rPr>
        <w:t>The table shows that with the exception of Basse and Fatoto,</w:t>
      </w:r>
      <w:r w:rsidR="00B360BB">
        <w:rPr>
          <w:b w:val="0"/>
          <w:bCs w:val="0"/>
          <w:sz w:val="24"/>
        </w:rPr>
        <w:t xml:space="preserve"> </w:t>
      </w:r>
      <w:r w:rsidRPr="007F4293">
        <w:rPr>
          <w:b w:val="0"/>
          <w:bCs w:val="0"/>
          <w:sz w:val="24"/>
        </w:rPr>
        <w:t>the entire country</w:t>
      </w:r>
      <w:r>
        <w:rPr>
          <w:b w:val="0"/>
          <w:bCs w:val="0"/>
          <w:sz w:val="24"/>
        </w:rPr>
        <w:t xml:space="preserve"> is</w:t>
      </w:r>
      <w:r w:rsidRPr="007F4293">
        <w:rPr>
          <w:b w:val="0"/>
          <w:bCs w:val="0"/>
          <w:sz w:val="24"/>
        </w:rPr>
        <w:t xml:space="preserve"> in deficit when compared to both the normal and that of </w:t>
      </w:r>
      <w:r w:rsidR="00B360BB">
        <w:rPr>
          <w:b w:val="0"/>
          <w:bCs w:val="0"/>
          <w:sz w:val="24"/>
        </w:rPr>
        <w:t>J</w:t>
      </w:r>
      <w:r w:rsidRPr="007F4293">
        <w:rPr>
          <w:b w:val="0"/>
          <w:bCs w:val="0"/>
          <w:sz w:val="24"/>
        </w:rPr>
        <w:t>uly last year</w:t>
      </w:r>
      <w:r w:rsidR="00B360BB">
        <w:rPr>
          <w:b w:val="0"/>
          <w:bCs w:val="0"/>
          <w:sz w:val="24"/>
        </w:rPr>
        <w:t xml:space="preserve"> </w:t>
      </w:r>
      <w:r>
        <w:rPr>
          <w:b w:val="0"/>
          <w:bCs w:val="0"/>
          <w:sz w:val="24"/>
        </w:rPr>
        <w:t>(Table 1)</w:t>
      </w:r>
      <w:r w:rsidR="00B360BB">
        <w:rPr>
          <w:b w:val="0"/>
          <w:bCs w:val="0"/>
          <w:sz w:val="24"/>
        </w:rPr>
        <w:t>.</w:t>
      </w:r>
    </w:p>
    <w:p w:rsidR="00E66FDF" w:rsidRDefault="00E66FDF" w:rsidP="00E66FDF">
      <w:pPr>
        <w:pStyle w:val="BodyText"/>
        <w:jc w:val="both"/>
        <w:rPr>
          <w:b w:val="0"/>
          <w:bCs w:val="0"/>
          <w:sz w:val="24"/>
        </w:rPr>
      </w:pPr>
    </w:p>
    <w:p w:rsidR="00E66FDF" w:rsidRDefault="00E66FDF" w:rsidP="00E66FDF">
      <w:pPr>
        <w:pStyle w:val="BodyText"/>
        <w:jc w:val="both"/>
        <w:rPr>
          <w:b w:val="0"/>
          <w:bCs w:val="0"/>
          <w:sz w:val="24"/>
        </w:rPr>
      </w:pPr>
    </w:p>
    <w:p w:rsidR="00E66FDF" w:rsidRDefault="00E66FDF" w:rsidP="00E66FDF">
      <w:pPr>
        <w:pStyle w:val="BodyText"/>
        <w:jc w:val="both"/>
        <w:rPr>
          <w:b w:val="0"/>
          <w:bCs w:val="0"/>
          <w:sz w:val="24"/>
        </w:rPr>
      </w:pPr>
    </w:p>
    <w:p w:rsidR="00E66FDF" w:rsidRDefault="00E66FDF" w:rsidP="00E66FDF">
      <w:pPr>
        <w:pStyle w:val="BodyText"/>
        <w:jc w:val="both"/>
        <w:rPr>
          <w:bCs w:val="0"/>
          <w:sz w:val="24"/>
        </w:rPr>
      </w:pPr>
      <w:r w:rsidRPr="007F4293">
        <w:rPr>
          <w:bCs w:val="0"/>
          <w:sz w:val="24"/>
        </w:rPr>
        <w:lastRenderedPageBreak/>
        <w:t>Table 1:</w:t>
      </w:r>
      <w:r w:rsidR="00BD64F1">
        <w:rPr>
          <w:bCs w:val="0"/>
          <w:sz w:val="24"/>
        </w:rPr>
        <w:t xml:space="preserve"> </w:t>
      </w:r>
      <w:r w:rsidRPr="007F4293">
        <w:rPr>
          <w:bCs w:val="0"/>
          <w:sz w:val="24"/>
        </w:rPr>
        <w:t xml:space="preserve">2014 Seasonal </w:t>
      </w:r>
      <w:r w:rsidR="00BD64F1">
        <w:rPr>
          <w:bCs w:val="0"/>
          <w:sz w:val="24"/>
        </w:rPr>
        <w:t>r</w:t>
      </w:r>
      <w:r w:rsidRPr="007F4293">
        <w:rPr>
          <w:bCs w:val="0"/>
          <w:sz w:val="24"/>
        </w:rPr>
        <w:t>ainfall comparis</w:t>
      </w:r>
      <w:r w:rsidR="00B360BB">
        <w:rPr>
          <w:bCs w:val="0"/>
          <w:sz w:val="24"/>
        </w:rPr>
        <w:t>on</w:t>
      </w:r>
      <w:r w:rsidRPr="007F4293">
        <w:rPr>
          <w:bCs w:val="0"/>
          <w:sz w:val="24"/>
        </w:rPr>
        <w:t>s</w:t>
      </w:r>
      <w:r>
        <w:rPr>
          <w:bCs w:val="0"/>
          <w:sz w:val="24"/>
        </w:rPr>
        <w:t xml:space="preserve"> </w:t>
      </w:r>
      <w:r w:rsidR="00B360BB">
        <w:rPr>
          <w:bCs w:val="0"/>
          <w:sz w:val="24"/>
        </w:rPr>
        <w:t xml:space="preserve">against </w:t>
      </w:r>
      <w:r w:rsidRPr="007F4293">
        <w:rPr>
          <w:bCs w:val="0"/>
          <w:sz w:val="24"/>
        </w:rPr>
        <w:t xml:space="preserve">last year </w:t>
      </w:r>
      <w:r w:rsidR="00B360BB">
        <w:rPr>
          <w:bCs w:val="0"/>
          <w:sz w:val="24"/>
        </w:rPr>
        <w:t xml:space="preserve">and long term mean during the same period </w:t>
      </w:r>
    </w:p>
    <w:p w:rsidR="00E66FDF" w:rsidRDefault="00E66FDF" w:rsidP="00E66FDF">
      <w:pPr>
        <w:pStyle w:val="BodyText"/>
        <w:jc w:val="both"/>
        <w:rPr>
          <w:bCs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1317"/>
        <w:gridCol w:w="1317"/>
        <w:gridCol w:w="1301"/>
        <w:gridCol w:w="896"/>
        <w:gridCol w:w="1017"/>
        <w:gridCol w:w="896"/>
        <w:gridCol w:w="1017"/>
      </w:tblGrid>
      <w:tr w:rsidR="00E66FDF" w:rsidRPr="00E66FDF" w:rsidTr="00E66FDF">
        <w:tc>
          <w:tcPr>
            <w:tcW w:w="1421" w:type="dxa"/>
            <w:vMerge w:val="restart"/>
          </w:tcPr>
          <w:p w:rsidR="00E66FDF" w:rsidRPr="00E66FDF" w:rsidRDefault="00E66FDF" w:rsidP="00E66FDF">
            <w:pPr>
              <w:pStyle w:val="BodyText"/>
              <w:jc w:val="both"/>
              <w:rPr>
                <w:bCs w:val="0"/>
                <w:sz w:val="24"/>
              </w:rPr>
            </w:pPr>
            <w:r w:rsidRPr="00E66FDF">
              <w:rPr>
                <w:bCs w:val="0"/>
                <w:sz w:val="24"/>
              </w:rPr>
              <w:t>Station</w:t>
            </w:r>
            <w:r w:rsidR="0032087D">
              <w:rPr>
                <w:bCs w:val="0"/>
                <w:sz w:val="24"/>
              </w:rPr>
              <w:t xml:space="preserve"> Name</w:t>
            </w:r>
          </w:p>
        </w:tc>
        <w:tc>
          <w:tcPr>
            <w:tcW w:w="1317" w:type="dxa"/>
            <w:vMerge w:val="restart"/>
          </w:tcPr>
          <w:p w:rsidR="00E66FDF" w:rsidRPr="00E66FDF" w:rsidRDefault="00E66FDF" w:rsidP="00BD64F1">
            <w:pPr>
              <w:pStyle w:val="BodyText"/>
              <w:jc w:val="both"/>
              <w:rPr>
                <w:bCs w:val="0"/>
                <w:sz w:val="24"/>
              </w:rPr>
            </w:pPr>
            <w:r w:rsidRPr="00E66FDF">
              <w:rPr>
                <w:bCs w:val="0"/>
                <w:sz w:val="24"/>
              </w:rPr>
              <w:t>Seasonal total 2</w:t>
            </w:r>
            <w:r w:rsidRPr="00E66FDF">
              <w:rPr>
                <w:bCs w:val="0"/>
                <w:sz w:val="24"/>
                <w:vertAlign w:val="superscript"/>
              </w:rPr>
              <w:t>nd</w:t>
            </w:r>
            <w:r w:rsidRPr="00E66FDF">
              <w:rPr>
                <w:bCs w:val="0"/>
                <w:sz w:val="24"/>
              </w:rPr>
              <w:t xml:space="preserve"> dekad </w:t>
            </w:r>
            <w:r w:rsidR="00BD64F1">
              <w:rPr>
                <w:bCs w:val="0"/>
                <w:sz w:val="24"/>
              </w:rPr>
              <w:t>J</w:t>
            </w:r>
            <w:r w:rsidRPr="00E66FDF">
              <w:rPr>
                <w:bCs w:val="0"/>
                <w:sz w:val="24"/>
              </w:rPr>
              <w:t xml:space="preserve">uly  </w:t>
            </w:r>
          </w:p>
        </w:tc>
        <w:tc>
          <w:tcPr>
            <w:tcW w:w="1317" w:type="dxa"/>
            <w:vMerge w:val="restart"/>
          </w:tcPr>
          <w:p w:rsidR="00E66FDF" w:rsidRPr="00E66FDF" w:rsidRDefault="00E66FDF" w:rsidP="00BD64F1">
            <w:pPr>
              <w:pStyle w:val="BodyText"/>
              <w:jc w:val="both"/>
              <w:rPr>
                <w:bCs w:val="0"/>
                <w:sz w:val="24"/>
              </w:rPr>
            </w:pPr>
            <w:r w:rsidRPr="00E66FDF">
              <w:rPr>
                <w:bCs w:val="0"/>
                <w:sz w:val="24"/>
              </w:rPr>
              <w:t>Seasonal total 2</w:t>
            </w:r>
            <w:r w:rsidRPr="00E66FDF">
              <w:rPr>
                <w:bCs w:val="0"/>
                <w:sz w:val="24"/>
                <w:vertAlign w:val="superscript"/>
              </w:rPr>
              <w:t>nd</w:t>
            </w:r>
            <w:r w:rsidRPr="00E66FDF">
              <w:rPr>
                <w:bCs w:val="0"/>
                <w:sz w:val="24"/>
              </w:rPr>
              <w:t xml:space="preserve"> dekad</w:t>
            </w:r>
            <w:r w:rsidR="00BD64F1">
              <w:rPr>
                <w:bCs w:val="0"/>
                <w:sz w:val="24"/>
              </w:rPr>
              <w:t xml:space="preserve"> J</w:t>
            </w:r>
            <w:r w:rsidRPr="00E66FDF">
              <w:rPr>
                <w:bCs w:val="0"/>
                <w:sz w:val="24"/>
              </w:rPr>
              <w:t>uly 2013</w:t>
            </w:r>
          </w:p>
        </w:tc>
        <w:tc>
          <w:tcPr>
            <w:tcW w:w="1301" w:type="dxa"/>
            <w:vMerge w:val="restart"/>
          </w:tcPr>
          <w:p w:rsidR="00E66FDF" w:rsidRPr="00E66FDF" w:rsidRDefault="00E66FDF" w:rsidP="00BD64F1">
            <w:pPr>
              <w:pStyle w:val="BodyText"/>
              <w:jc w:val="both"/>
              <w:rPr>
                <w:bCs w:val="0"/>
                <w:sz w:val="24"/>
              </w:rPr>
            </w:pPr>
            <w:r w:rsidRPr="00E66FDF">
              <w:rPr>
                <w:bCs w:val="0"/>
                <w:sz w:val="24"/>
              </w:rPr>
              <w:t xml:space="preserve">Dekadal normal </w:t>
            </w:r>
            <w:r w:rsidR="00BD64F1">
              <w:rPr>
                <w:bCs w:val="0"/>
                <w:sz w:val="24"/>
              </w:rPr>
              <w:t>(</w:t>
            </w:r>
            <w:r w:rsidRPr="00E66FDF">
              <w:rPr>
                <w:bCs w:val="0"/>
                <w:sz w:val="24"/>
              </w:rPr>
              <w:t xml:space="preserve"> 81_2010</w:t>
            </w:r>
            <w:r w:rsidR="00BD64F1">
              <w:rPr>
                <w:bCs w:val="0"/>
                <w:sz w:val="24"/>
              </w:rPr>
              <w:t>)</w:t>
            </w:r>
          </w:p>
        </w:tc>
        <w:tc>
          <w:tcPr>
            <w:tcW w:w="1913" w:type="dxa"/>
            <w:gridSpan w:val="2"/>
          </w:tcPr>
          <w:p w:rsidR="00E66FDF" w:rsidRPr="00E66FDF" w:rsidRDefault="00BD64F1" w:rsidP="00BD64F1">
            <w:pPr>
              <w:pStyle w:val="BodyText"/>
              <w:jc w:val="both"/>
              <w:rPr>
                <w:bCs w:val="0"/>
                <w:sz w:val="24"/>
              </w:rPr>
            </w:pPr>
            <w:r>
              <w:rPr>
                <w:bCs w:val="0"/>
                <w:sz w:val="24"/>
              </w:rPr>
              <w:t>Difference (</w:t>
            </w:r>
            <w:r w:rsidR="00E66FDF" w:rsidRPr="00E66FDF">
              <w:rPr>
                <w:bCs w:val="0"/>
                <w:sz w:val="24"/>
              </w:rPr>
              <w:t xml:space="preserve"> 2014</w:t>
            </w:r>
            <w:r>
              <w:rPr>
                <w:bCs w:val="0"/>
                <w:sz w:val="24"/>
              </w:rPr>
              <w:t xml:space="preserve"> –</w:t>
            </w:r>
            <w:r w:rsidR="00E66FDF" w:rsidRPr="00E66FDF">
              <w:rPr>
                <w:bCs w:val="0"/>
                <w:sz w:val="24"/>
              </w:rPr>
              <w:t xml:space="preserve"> 2013</w:t>
            </w:r>
            <w:r>
              <w:rPr>
                <w:bCs w:val="0"/>
                <w:sz w:val="24"/>
              </w:rPr>
              <w:t>)</w:t>
            </w:r>
            <w:r w:rsidR="00E66FDF" w:rsidRPr="00E66FDF">
              <w:rPr>
                <w:bCs w:val="0"/>
                <w:sz w:val="24"/>
              </w:rPr>
              <w:t xml:space="preserve"> </w:t>
            </w:r>
          </w:p>
        </w:tc>
        <w:tc>
          <w:tcPr>
            <w:tcW w:w="1913" w:type="dxa"/>
            <w:gridSpan w:val="2"/>
          </w:tcPr>
          <w:p w:rsidR="00E66FDF" w:rsidRPr="00E66FDF" w:rsidRDefault="00BD64F1" w:rsidP="00BD64F1">
            <w:pPr>
              <w:rPr>
                <w:b/>
              </w:rPr>
            </w:pPr>
            <w:r>
              <w:rPr>
                <w:b/>
                <w:bCs/>
              </w:rPr>
              <w:t xml:space="preserve">Difference (2014 –Normal) </w:t>
            </w:r>
          </w:p>
        </w:tc>
      </w:tr>
      <w:tr w:rsidR="00E66FDF" w:rsidRPr="00E66FDF" w:rsidTr="00E66FDF">
        <w:tc>
          <w:tcPr>
            <w:tcW w:w="1421" w:type="dxa"/>
            <w:vMerge/>
          </w:tcPr>
          <w:p w:rsidR="00E66FDF" w:rsidRPr="00E66FDF" w:rsidRDefault="00E66FDF" w:rsidP="00E66FDF">
            <w:pPr>
              <w:pStyle w:val="BodyText"/>
              <w:jc w:val="both"/>
              <w:rPr>
                <w:bCs w:val="0"/>
                <w:sz w:val="24"/>
              </w:rPr>
            </w:pPr>
          </w:p>
        </w:tc>
        <w:tc>
          <w:tcPr>
            <w:tcW w:w="1317" w:type="dxa"/>
            <w:vMerge/>
          </w:tcPr>
          <w:p w:rsidR="00E66FDF" w:rsidRPr="00E66FDF" w:rsidRDefault="00E66FDF" w:rsidP="00E66FDF">
            <w:pPr>
              <w:pStyle w:val="BodyText"/>
              <w:jc w:val="both"/>
              <w:rPr>
                <w:bCs w:val="0"/>
                <w:sz w:val="24"/>
              </w:rPr>
            </w:pPr>
          </w:p>
        </w:tc>
        <w:tc>
          <w:tcPr>
            <w:tcW w:w="1317" w:type="dxa"/>
            <w:vMerge/>
          </w:tcPr>
          <w:p w:rsidR="00E66FDF" w:rsidRPr="00E66FDF" w:rsidRDefault="00E66FDF" w:rsidP="00E66FDF">
            <w:pPr>
              <w:pStyle w:val="BodyText"/>
              <w:jc w:val="both"/>
              <w:rPr>
                <w:bCs w:val="0"/>
                <w:sz w:val="24"/>
              </w:rPr>
            </w:pPr>
          </w:p>
        </w:tc>
        <w:tc>
          <w:tcPr>
            <w:tcW w:w="1301" w:type="dxa"/>
            <w:vMerge/>
          </w:tcPr>
          <w:p w:rsidR="00E66FDF" w:rsidRPr="00E66FDF" w:rsidRDefault="00E66FDF" w:rsidP="00E66FDF">
            <w:pPr>
              <w:pStyle w:val="BodyText"/>
              <w:jc w:val="both"/>
              <w:rPr>
                <w:bCs w:val="0"/>
                <w:sz w:val="24"/>
              </w:rPr>
            </w:pPr>
          </w:p>
        </w:tc>
        <w:tc>
          <w:tcPr>
            <w:tcW w:w="896" w:type="dxa"/>
            <w:tcBorders>
              <w:right w:val="single" w:sz="4" w:space="0" w:color="auto"/>
            </w:tcBorders>
          </w:tcPr>
          <w:p w:rsidR="00E66FDF" w:rsidRPr="00E66FDF" w:rsidRDefault="00E66FDF" w:rsidP="00E66FDF">
            <w:pPr>
              <w:pStyle w:val="BodyText"/>
              <w:jc w:val="both"/>
              <w:rPr>
                <w:bCs w:val="0"/>
                <w:sz w:val="24"/>
              </w:rPr>
            </w:pPr>
            <w:r w:rsidRPr="00E66FDF">
              <w:rPr>
                <w:bCs w:val="0"/>
                <w:sz w:val="24"/>
              </w:rPr>
              <w:t>Deficit</w:t>
            </w:r>
          </w:p>
        </w:tc>
        <w:tc>
          <w:tcPr>
            <w:tcW w:w="1017" w:type="dxa"/>
            <w:tcBorders>
              <w:left w:val="single" w:sz="4" w:space="0" w:color="auto"/>
            </w:tcBorders>
          </w:tcPr>
          <w:p w:rsidR="00E66FDF" w:rsidRPr="00E66FDF" w:rsidRDefault="00E66FDF" w:rsidP="00E66FDF">
            <w:pPr>
              <w:pStyle w:val="BodyText"/>
              <w:jc w:val="both"/>
              <w:rPr>
                <w:bCs w:val="0"/>
                <w:sz w:val="24"/>
              </w:rPr>
            </w:pPr>
            <w:r w:rsidRPr="00E66FDF">
              <w:rPr>
                <w:bCs w:val="0"/>
                <w:sz w:val="24"/>
              </w:rPr>
              <w:t>Surplus</w:t>
            </w:r>
          </w:p>
        </w:tc>
        <w:tc>
          <w:tcPr>
            <w:tcW w:w="896" w:type="dxa"/>
            <w:tcBorders>
              <w:right w:val="single" w:sz="4" w:space="0" w:color="auto"/>
            </w:tcBorders>
          </w:tcPr>
          <w:p w:rsidR="00E66FDF" w:rsidRPr="00E66FDF" w:rsidRDefault="00E66FDF" w:rsidP="00E66FDF">
            <w:pPr>
              <w:pStyle w:val="BodyText"/>
              <w:jc w:val="both"/>
              <w:rPr>
                <w:bCs w:val="0"/>
                <w:sz w:val="24"/>
              </w:rPr>
            </w:pPr>
            <w:r w:rsidRPr="00E66FDF">
              <w:rPr>
                <w:bCs w:val="0"/>
                <w:sz w:val="24"/>
              </w:rPr>
              <w:t>Deficit</w:t>
            </w:r>
          </w:p>
        </w:tc>
        <w:tc>
          <w:tcPr>
            <w:tcW w:w="1017" w:type="dxa"/>
            <w:tcBorders>
              <w:left w:val="single" w:sz="4" w:space="0" w:color="auto"/>
            </w:tcBorders>
          </w:tcPr>
          <w:p w:rsidR="00E66FDF" w:rsidRPr="00E66FDF" w:rsidRDefault="00E66FDF" w:rsidP="00E66FDF">
            <w:pPr>
              <w:pStyle w:val="BodyText"/>
              <w:jc w:val="both"/>
              <w:rPr>
                <w:bCs w:val="0"/>
                <w:sz w:val="24"/>
              </w:rPr>
            </w:pPr>
            <w:r w:rsidRPr="00E66FDF">
              <w:rPr>
                <w:bCs w:val="0"/>
                <w:sz w:val="24"/>
              </w:rPr>
              <w:t>Surplus</w:t>
            </w: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Yundum Airport</w:t>
            </w:r>
          </w:p>
        </w:tc>
        <w:tc>
          <w:tcPr>
            <w:tcW w:w="1317" w:type="dxa"/>
          </w:tcPr>
          <w:p w:rsidR="00E66FDF" w:rsidRPr="00E66FDF" w:rsidRDefault="00E66FDF" w:rsidP="00E66FDF">
            <w:pPr>
              <w:pStyle w:val="BodyText"/>
              <w:jc w:val="both"/>
              <w:rPr>
                <w:b w:val="0"/>
                <w:bCs w:val="0"/>
                <w:sz w:val="24"/>
              </w:rPr>
            </w:pPr>
            <w:r w:rsidRPr="00E66FDF">
              <w:rPr>
                <w:b w:val="0"/>
                <w:bCs w:val="0"/>
                <w:sz w:val="24"/>
              </w:rPr>
              <w:t>64.8</w:t>
            </w:r>
          </w:p>
        </w:tc>
        <w:tc>
          <w:tcPr>
            <w:tcW w:w="1317" w:type="dxa"/>
          </w:tcPr>
          <w:p w:rsidR="00E66FDF" w:rsidRPr="00E66FDF" w:rsidRDefault="00E66FDF" w:rsidP="00E66FDF">
            <w:pPr>
              <w:pStyle w:val="BodyText"/>
              <w:jc w:val="both"/>
              <w:rPr>
                <w:b w:val="0"/>
                <w:bCs w:val="0"/>
                <w:sz w:val="24"/>
              </w:rPr>
            </w:pPr>
            <w:r w:rsidRPr="00E66FDF">
              <w:rPr>
                <w:b w:val="0"/>
                <w:bCs w:val="0"/>
                <w:sz w:val="24"/>
              </w:rPr>
              <w:t>297.7</w:t>
            </w:r>
          </w:p>
        </w:tc>
        <w:tc>
          <w:tcPr>
            <w:tcW w:w="1301" w:type="dxa"/>
          </w:tcPr>
          <w:p w:rsidR="00E66FDF" w:rsidRPr="00E66FDF" w:rsidRDefault="00E66FDF" w:rsidP="00E66FDF">
            <w:pPr>
              <w:pStyle w:val="BodyText"/>
              <w:jc w:val="both"/>
              <w:rPr>
                <w:b w:val="0"/>
                <w:bCs w:val="0"/>
                <w:sz w:val="24"/>
              </w:rPr>
            </w:pPr>
            <w:r w:rsidRPr="00E66FDF">
              <w:rPr>
                <w:b w:val="0"/>
                <w:bCs w:val="0"/>
                <w:sz w:val="24"/>
              </w:rPr>
              <w:t>171.3</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-232.9</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-106.9</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Sibanor</w:t>
            </w:r>
          </w:p>
        </w:tc>
        <w:tc>
          <w:tcPr>
            <w:tcW w:w="1317" w:type="dxa"/>
          </w:tcPr>
          <w:p w:rsidR="00E66FDF" w:rsidRPr="00E66FDF" w:rsidRDefault="00E66FDF" w:rsidP="00E66FDF">
            <w:pPr>
              <w:pStyle w:val="BodyText"/>
              <w:jc w:val="both"/>
              <w:rPr>
                <w:b w:val="0"/>
                <w:bCs w:val="0"/>
                <w:sz w:val="24"/>
              </w:rPr>
            </w:pPr>
            <w:r w:rsidRPr="00E66FDF">
              <w:rPr>
                <w:b w:val="0"/>
                <w:bCs w:val="0"/>
                <w:sz w:val="24"/>
              </w:rPr>
              <w:t>153.3</w:t>
            </w:r>
          </w:p>
        </w:tc>
        <w:tc>
          <w:tcPr>
            <w:tcW w:w="1317" w:type="dxa"/>
          </w:tcPr>
          <w:p w:rsidR="00E66FDF" w:rsidRPr="00E66FDF" w:rsidRDefault="00E66FDF" w:rsidP="00E66FDF">
            <w:pPr>
              <w:pStyle w:val="BodyText"/>
              <w:jc w:val="both"/>
              <w:rPr>
                <w:b w:val="0"/>
                <w:bCs w:val="0"/>
                <w:sz w:val="24"/>
              </w:rPr>
            </w:pPr>
            <w:r w:rsidRPr="00E66FDF">
              <w:rPr>
                <w:b w:val="0"/>
                <w:bCs w:val="0"/>
                <w:sz w:val="24"/>
              </w:rPr>
              <w:t>N/A</w:t>
            </w:r>
          </w:p>
        </w:tc>
        <w:tc>
          <w:tcPr>
            <w:tcW w:w="1301" w:type="dxa"/>
          </w:tcPr>
          <w:p w:rsidR="00E66FDF" w:rsidRPr="00E66FDF" w:rsidRDefault="00E66FDF" w:rsidP="00E66FDF">
            <w:pPr>
              <w:pStyle w:val="BodyText"/>
              <w:jc w:val="both"/>
              <w:rPr>
                <w:b w:val="0"/>
                <w:bCs w:val="0"/>
                <w:sz w:val="24"/>
              </w:rPr>
            </w:pPr>
            <w:r w:rsidRPr="00E66FDF">
              <w:rPr>
                <w:b w:val="0"/>
                <w:bCs w:val="0"/>
                <w:sz w:val="24"/>
              </w:rPr>
              <w:t>N/A_</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N/A</w:t>
            </w:r>
          </w:p>
        </w:tc>
        <w:tc>
          <w:tcPr>
            <w:tcW w:w="1017" w:type="dxa"/>
            <w:tcBorders>
              <w:left w:val="single" w:sz="4" w:space="0" w:color="auto"/>
            </w:tcBorders>
          </w:tcPr>
          <w:p w:rsidR="00E66FDF" w:rsidRPr="00E66FDF" w:rsidRDefault="00E66FDF" w:rsidP="00E66FDF">
            <w:pPr>
              <w:pStyle w:val="BodyText"/>
              <w:jc w:val="both"/>
              <w:rPr>
                <w:b w:val="0"/>
                <w:bCs w:val="0"/>
                <w:sz w:val="24"/>
              </w:rPr>
            </w:pPr>
            <w:r w:rsidRPr="00E66FDF">
              <w:rPr>
                <w:b w:val="0"/>
                <w:bCs w:val="0"/>
                <w:sz w:val="24"/>
              </w:rPr>
              <w:t>N/A</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N/A</w:t>
            </w:r>
          </w:p>
        </w:tc>
        <w:tc>
          <w:tcPr>
            <w:tcW w:w="1017" w:type="dxa"/>
            <w:tcBorders>
              <w:left w:val="single" w:sz="4" w:space="0" w:color="auto"/>
            </w:tcBorders>
          </w:tcPr>
          <w:p w:rsidR="00E66FDF" w:rsidRPr="00E66FDF" w:rsidRDefault="00E66FDF" w:rsidP="00E66FDF">
            <w:pPr>
              <w:pStyle w:val="BodyText"/>
              <w:jc w:val="both"/>
              <w:rPr>
                <w:b w:val="0"/>
                <w:bCs w:val="0"/>
                <w:sz w:val="24"/>
              </w:rPr>
            </w:pPr>
            <w:r w:rsidRPr="00E66FDF">
              <w:rPr>
                <w:b w:val="0"/>
                <w:bCs w:val="0"/>
                <w:sz w:val="24"/>
              </w:rPr>
              <w:t>N/A</w:t>
            </w: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Jenoi</w:t>
            </w:r>
          </w:p>
        </w:tc>
        <w:tc>
          <w:tcPr>
            <w:tcW w:w="1317" w:type="dxa"/>
          </w:tcPr>
          <w:p w:rsidR="00E66FDF" w:rsidRPr="00E66FDF" w:rsidRDefault="00E66FDF" w:rsidP="00E66FDF">
            <w:pPr>
              <w:pStyle w:val="BodyText"/>
              <w:jc w:val="both"/>
              <w:rPr>
                <w:b w:val="0"/>
                <w:bCs w:val="0"/>
                <w:sz w:val="24"/>
              </w:rPr>
            </w:pPr>
            <w:r w:rsidRPr="00E66FDF">
              <w:rPr>
                <w:b w:val="0"/>
                <w:bCs w:val="0"/>
                <w:sz w:val="24"/>
              </w:rPr>
              <w:t>80.2</w:t>
            </w:r>
          </w:p>
        </w:tc>
        <w:tc>
          <w:tcPr>
            <w:tcW w:w="1317" w:type="dxa"/>
          </w:tcPr>
          <w:p w:rsidR="00E66FDF" w:rsidRPr="00E66FDF" w:rsidRDefault="00E66FDF" w:rsidP="00E66FDF">
            <w:pPr>
              <w:pStyle w:val="BodyText"/>
              <w:jc w:val="both"/>
              <w:rPr>
                <w:b w:val="0"/>
                <w:bCs w:val="0"/>
                <w:sz w:val="24"/>
              </w:rPr>
            </w:pPr>
            <w:r w:rsidRPr="00E66FDF">
              <w:rPr>
                <w:b w:val="0"/>
                <w:bCs w:val="0"/>
                <w:sz w:val="24"/>
              </w:rPr>
              <w:t>273.3</w:t>
            </w:r>
          </w:p>
        </w:tc>
        <w:tc>
          <w:tcPr>
            <w:tcW w:w="1301" w:type="dxa"/>
          </w:tcPr>
          <w:p w:rsidR="00E66FDF" w:rsidRPr="00E66FDF" w:rsidRDefault="00E66FDF" w:rsidP="00E66FDF">
            <w:pPr>
              <w:pStyle w:val="BodyText"/>
              <w:jc w:val="both"/>
              <w:rPr>
                <w:b w:val="0"/>
                <w:bCs w:val="0"/>
                <w:sz w:val="24"/>
              </w:rPr>
            </w:pPr>
            <w:r w:rsidRPr="00E66FDF">
              <w:rPr>
                <w:b w:val="0"/>
                <w:bCs w:val="0"/>
                <w:sz w:val="24"/>
              </w:rPr>
              <w:t>290.5</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-193.1</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-210.3</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Banjul</w:t>
            </w:r>
          </w:p>
        </w:tc>
        <w:tc>
          <w:tcPr>
            <w:tcW w:w="1317" w:type="dxa"/>
          </w:tcPr>
          <w:p w:rsidR="00E66FDF" w:rsidRPr="00E66FDF" w:rsidRDefault="00E66FDF" w:rsidP="00E66FDF">
            <w:pPr>
              <w:pStyle w:val="BodyText"/>
              <w:jc w:val="both"/>
              <w:rPr>
                <w:b w:val="0"/>
                <w:bCs w:val="0"/>
                <w:sz w:val="24"/>
              </w:rPr>
            </w:pPr>
            <w:r w:rsidRPr="00E66FDF">
              <w:rPr>
                <w:b w:val="0"/>
                <w:bCs w:val="0"/>
                <w:sz w:val="24"/>
              </w:rPr>
              <w:t>31.8</w:t>
            </w:r>
          </w:p>
        </w:tc>
        <w:tc>
          <w:tcPr>
            <w:tcW w:w="1317" w:type="dxa"/>
          </w:tcPr>
          <w:p w:rsidR="00E66FDF" w:rsidRPr="00E66FDF" w:rsidRDefault="00E66FDF" w:rsidP="00E66FDF">
            <w:pPr>
              <w:pStyle w:val="BodyText"/>
              <w:jc w:val="both"/>
              <w:rPr>
                <w:b w:val="0"/>
                <w:bCs w:val="0"/>
                <w:sz w:val="24"/>
              </w:rPr>
            </w:pPr>
            <w:r w:rsidRPr="00E66FDF">
              <w:rPr>
                <w:b w:val="0"/>
                <w:bCs w:val="0"/>
                <w:sz w:val="24"/>
              </w:rPr>
              <w:t>133.9</w:t>
            </w:r>
          </w:p>
        </w:tc>
        <w:tc>
          <w:tcPr>
            <w:tcW w:w="1301" w:type="dxa"/>
          </w:tcPr>
          <w:p w:rsidR="00E66FDF" w:rsidRPr="00E66FDF" w:rsidRDefault="00E66FDF" w:rsidP="00E66FDF">
            <w:pPr>
              <w:pStyle w:val="BodyText"/>
              <w:jc w:val="both"/>
              <w:rPr>
                <w:b w:val="0"/>
                <w:bCs w:val="0"/>
                <w:sz w:val="24"/>
              </w:rPr>
            </w:pPr>
            <w:r w:rsidRPr="00E66FDF">
              <w:rPr>
                <w:b w:val="0"/>
                <w:bCs w:val="0"/>
                <w:sz w:val="24"/>
              </w:rPr>
              <w:t>148.2</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-102.1</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-116.4</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Kerewan</w:t>
            </w:r>
          </w:p>
        </w:tc>
        <w:tc>
          <w:tcPr>
            <w:tcW w:w="1317" w:type="dxa"/>
          </w:tcPr>
          <w:p w:rsidR="00E66FDF" w:rsidRPr="00E66FDF" w:rsidRDefault="00E66FDF" w:rsidP="00E66FDF">
            <w:pPr>
              <w:pStyle w:val="BodyText"/>
              <w:jc w:val="both"/>
              <w:rPr>
                <w:b w:val="0"/>
                <w:bCs w:val="0"/>
                <w:sz w:val="24"/>
              </w:rPr>
            </w:pPr>
            <w:r w:rsidRPr="00E66FDF">
              <w:rPr>
                <w:b w:val="0"/>
                <w:bCs w:val="0"/>
                <w:sz w:val="24"/>
              </w:rPr>
              <w:t>48.3</w:t>
            </w:r>
          </w:p>
        </w:tc>
        <w:tc>
          <w:tcPr>
            <w:tcW w:w="1317" w:type="dxa"/>
          </w:tcPr>
          <w:p w:rsidR="00E66FDF" w:rsidRPr="00E66FDF" w:rsidRDefault="00E66FDF" w:rsidP="00E66FDF">
            <w:pPr>
              <w:pStyle w:val="BodyText"/>
              <w:jc w:val="both"/>
              <w:rPr>
                <w:b w:val="0"/>
                <w:bCs w:val="0"/>
                <w:sz w:val="24"/>
              </w:rPr>
            </w:pPr>
            <w:r w:rsidRPr="00E66FDF">
              <w:rPr>
                <w:b w:val="0"/>
                <w:bCs w:val="0"/>
                <w:sz w:val="24"/>
              </w:rPr>
              <w:t>232.9</w:t>
            </w:r>
          </w:p>
        </w:tc>
        <w:tc>
          <w:tcPr>
            <w:tcW w:w="1301" w:type="dxa"/>
          </w:tcPr>
          <w:p w:rsidR="00E66FDF" w:rsidRPr="00E66FDF" w:rsidRDefault="00E66FDF" w:rsidP="00E66FDF">
            <w:pPr>
              <w:pStyle w:val="BodyText"/>
              <w:jc w:val="both"/>
              <w:rPr>
                <w:b w:val="0"/>
                <w:bCs w:val="0"/>
                <w:sz w:val="24"/>
              </w:rPr>
            </w:pPr>
            <w:r w:rsidRPr="00E66FDF">
              <w:rPr>
                <w:b w:val="0"/>
                <w:bCs w:val="0"/>
                <w:sz w:val="24"/>
              </w:rPr>
              <w:t>215.2</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-184.6</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-166.9</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Kaur</w:t>
            </w:r>
          </w:p>
        </w:tc>
        <w:tc>
          <w:tcPr>
            <w:tcW w:w="1317" w:type="dxa"/>
          </w:tcPr>
          <w:p w:rsidR="00E66FDF" w:rsidRPr="00E66FDF" w:rsidRDefault="00E66FDF" w:rsidP="00E66FDF">
            <w:pPr>
              <w:pStyle w:val="BodyText"/>
              <w:jc w:val="both"/>
              <w:rPr>
                <w:b w:val="0"/>
                <w:bCs w:val="0"/>
                <w:sz w:val="24"/>
              </w:rPr>
            </w:pPr>
            <w:r w:rsidRPr="00E66FDF">
              <w:rPr>
                <w:b w:val="0"/>
                <w:bCs w:val="0"/>
                <w:sz w:val="24"/>
              </w:rPr>
              <w:t>53.5</w:t>
            </w:r>
          </w:p>
        </w:tc>
        <w:tc>
          <w:tcPr>
            <w:tcW w:w="1317" w:type="dxa"/>
          </w:tcPr>
          <w:p w:rsidR="00E66FDF" w:rsidRPr="00E66FDF" w:rsidRDefault="00E66FDF" w:rsidP="00E66FDF">
            <w:pPr>
              <w:pStyle w:val="BodyText"/>
              <w:jc w:val="both"/>
              <w:rPr>
                <w:b w:val="0"/>
                <w:bCs w:val="0"/>
                <w:sz w:val="24"/>
              </w:rPr>
            </w:pPr>
            <w:r w:rsidRPr="00E66FDF">
              <w:rPr>
                <w:b w:val="0"/>
                <w:bCs w:val="0"/>
                <w:sz w:val="24"/>
              </w:rPr>
              <w:t>255.5</w:t>
            </w:r>
          </w:p>
        </w:tc>
        <w:tc>
          <w:tcPr>
            <w:tcW w:w="1301" w:type="dxa"/>
          </w:tcPr>
          <w:p w:rsidR="00E66FDF" w:rsidRPr="00E66FDF" w:rsidRDefault="00E66FDF" w:rsidP="00E66FDF">
            <w:pPr>
              <w:pStyle w:val="BodyText"/>
              <w:jc w:val="both"/>
              <w:rPr>
                <w:b w:val="0"/>
                <w:bCs w:val="0"/>
                <w:sz w:val="24"/>
              </w:rPr>
            </w:pPr>
            <w:r w:rsidRPr="00E66FDF">
              <w:rPr>
                <w:b w:val="0"/>
                <w:bCs w:val="0"/>
                <w:sz w:val="24"/>
              </w:rPr>
              <w:t>176.9</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-202.0</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123.4</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Janjanbureh</w:t>
            </w:r>
          </w:p>
        </w:tc>
        <w:tc>
          <w:tcPr>
            <w:tcW w:w="1317" w:type="dxa"/>
          </w:tcPr>
          <w:p w:rsidR="00E66FDF" w:rsidRPr="00E66FDF" w:rsidRDefault="00E66FDF" w:rsidP="00E66FDF">
            <w:pPr>
              <w:pStyle w:val="BodyText"/>
              <w:jc w:val="both"/>
              <w:rPr>
                <w:b w:val="0"/>
                <w:bCs w:val="0"/>
                <w:sz w:val="24"/>
              </w:rPr>
            </w:pPr>
            <w:r w:rsidRPr="00E66FDF">
              <w:rPr>
                <w:b w:val="0"/>
                <w:bCs w:val="0"/>
                <w:sz w:val="24"/>
              </w:rPr>
              <w:t>49.1</w:t>
            </w:r>
          </w:p>
        </w:tc>
        <w:tc>
          <w:tcPr>
            <w:tcW w:w="1317" w:type="dxa"/>
          </w:tcPr>
          <w:p w:rsidR="00E66FDF" w:rsidRPr="00E66FDF" w:rsidRDefault="00E66FDF" w:rsidP="00E66FDF">
            <w:pPr>
              <w:pStyle w:val="BodyText"/>
              <w:jc w:val="both"/>
              <w:rPr>
                <w:b w:val="0"/>
                <w:bCs w:val="0"/>
                <w:sz w:val="24"/>
              </w:rPr>
            </w:pPr>
            <w:r w:rsidRPr="00E66FDF">
              <w:rPr>
                <w:b w:val="0"/>
                <w:bCs w:val="0"/>
                <w:sz w:val="24"/>
              </w:rPr>
              <w:t>203.4</w:t>
            </w:r>
          </w:p>
        </w:tc>
        <w:tc>
          <w:tcPr>
            <w:tcW w:w="1301" w:type="dxa"/>
          </w:tcPr>
          <w:p w:rsidR="00E66FDF" w:rsidRPr="00E66FDF" w:rsidRDefault="00E66FDF" w:rsidP="00E66FDF">
            <w:pPr>
              <w:pStyle w:val="BodyText"/>
              <w:jc w:val="both"/>
              <w:rPr>
                <w:b w:val="0"/>
                <w:bCs w:val="0"/>
                <w:sz w:val="24"/>
              </w:rPr>
            </w:pPr>
            <w:r w:rsidRPr="00E66FDF">
              <w:rPr>
                <w:b w:val="0"/>
                <w:bCs w:val="0"/>
                <w:sz w:val="24"/>
              </w:rPr>
              <w:t>213.7</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-154.3</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-164.6</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Sapu</w:t>
            </w:r>
          </w:p>
        </w:tc>
        <w:tc>
          <w:tcPr>
            <w:tcW w:w="1317" w:type="dxa"/>
          </w:tcPr>
          <w:p w:rsidR="00E66FDF" w:rsidRPr="00E66FDF" w:rsidRDefault="00E66FDF" w:rsidP="00E66FDF">
            <w:pPr>
              <w:pStyle w:val="BodyText"/>
              <w:jc w:val="both"/>
              <w:rPr>
                <w:b w:val="0"/>
                <w:bCs w:val="0"/>
                <w:sz w:val="24"/>
              </w:rPr>
            </w:pPr>
            <w:r w:rsidRPr="00E66FDF">
              <w:rPr>
                <w:b w:val="0"/>
                <w:bCs w:val="0"/>
                <w:sz w:val="24"/>
              </w:rPr>
              <w:t>124.0</w:t>
            </w:r>
          </w:p>
        </w:tc>
        <w:tc>
          <w:tcPr>
            <w:tcW w:w="1317" w:type="dxa"/>
          </w:tcPr>
          <w:p w:rsidR="00E66FDF" w:rsidRPr="00E66FDF" w:rsidRDefault="00E66FDF" w:rsidP="00E66FDF">
            <w:pPr>
              <w:pStyle w:val="BodyText"/>
              <w:jc w:val="both"/>
              <w:rPr>
                <w:b w:val="0"/>
                <w:bCs w:val="0"/>
                <w:sz w:val="24"/>
              </w:rPr>
            </w:pPr>
            <w:r w:rsidRPr="00E66FDF">
              <w:rPr>
                <w:b w:val="0"/>
                <w:bCs w:val="0"/>
                <w:sz w:val="24"/>
              </w:rPr>
              <w:t>389.0</w:t>
            </w:r>
          </w:p>
        </w:tc>
        <w:tc>
          <w:tcPr>
            <w:tcW w:w="1301" w:type="dxa"/>
          </w:tcPr>
          <w:p w:rsidR="00E66FDF" w:rsidRPr="00E66FDF" w:rsidRDefault="00E66FDF" w:rsidP="00E66FDF">
            <w:pPr>
              <w:pStyle w:val="BodyText"/>
              <w:jc w:val="both"/>
              <w:rPr>
                <w:b w:val="0"/>
                <w:bCs w:val="0"/>
                <w:sz w:val="24"/>
              </w:rPr>
            </w:pPr>
            <w:r w:rsidRPr="00E66FDF">
              <w:rPr>
                <w:b w:val="0"/>
                <w:bCs w:val="0"/>
                <w:sz w:val="24"/>
              </w:rPr>
              <w:t>225.6</w:t>
            </w: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-265.0</w:t>
            </w:r>
          </w:p>
        </w:tc>
        <w:tc>
          <w:tcPr>
            <w:tcW w:w="1017" w:type="dxa"/>
            <w:tcBorders>
              <w:left w:val="single" w:sz="4" w:space="0" w:color="auto"/>
            </w:tcBorders>
          </w:tcPr>
          <w:p w:rsidR="00E66FDF" w:rsidRPr="00E66FDF" w:rsidRDefault="00E66FDF" w:rsidP="00E66FDF">
            <w:pPr>
              <w:pStyle w:val="BodyText"/>
              <w:jc w:val="both"/>
              <w:rPr>
                <w:b w:val="0"/>
                <w:bCs w:val="0"/>
                <w:sz w:val="24"/>
              </w:rPr>
            </w:pPr>
          </w:p>
        </w:tc>
        <w:tc>
          <w:tcPr>
            <w:tcW w:w="896" w:type="dxa"/>
            <w:tcBorders>
              <w:right w:val="single" w:sz="4" w:space="0" w:color="auto"/>
            </w:tcBorders>
          </w:tcPr>
          <w:p w:rsidR="00E66FDF" w:rsidRPr="00E66FDF" w:rsidRDefault="00E66FDF" w:rsidP="00E66FDF">
            <w:pPr>
              <w:pStyle w:val="BodyText"/>
              <w:jc w:val="both"/>
              <w:rPr>
                <w:b w:val="0"/>
                <w:bCs w:val="0"/>
                <w:sz w:val="24"/>
              </w:rPr>
            </w:pPr>
            <w:r w:rsidRPr="00E66FDF">
              <w:rPr>
                <w:b w:val="0"/>
                <w:bCs w:val="0"/>
                <w:sz w:val="24"/>
              </w:rPr>
              <w:t>-101.6</w:t>
            </w:r>
          </w:p>
        </w:tc>
        <w:tc>
          <w:tcPr>
            <w:tcW w:w="1017" w:type="dxa"/>
            <w:tcBorders>
              <w:left w:val="single" w:sz="4" w:space="0" w:color="auto"/>
            </w:tcBorders>
          </w:tcPr>
          <w:p w:rsidR="00E66FDF" w:rsidRPr="00E66FDF" w:rsidRDefault="00E66FDF" w:rsidP="00E66FDF">
            <w:pPr>
              <w:pStyle w:val="BodyText"/>
              <w:jc w:val="both"/>
              <w:rPr>
                <w:b w:val="0"/>
                <w:bCs w:val="0"/>
                <w:sz w:val="24"/>
              </w:rPr>
            </w:pPr>
          </w:p>
        </w:tc>
      </w:tr>
      <w:tr w:rsidR="00E66FDF" w:rsidRPr="00E66FDF" w:rsidTr="00E66FDF">
        <w:tc>
          <w:tcPr>
            <w:tcW w:w="1421" w:type="dxa"/>
          </w:tcPr>
          <w:p w:rsidR="00E66FDF" w:rsidRPr="00E66FDF" w:rsidRDefault="00E66FDF" w:rsidP="00E66FDF">
            <w:pPr>
              <w:pStyle w:val="BodyText"/>
              <w:jc w:val="both"/>
              <w:rPr>
                <w:b w:val="0"/>
                <w:bCs w:val="0"/>
                <w:sz w:val="24"/>
              </w:rPr>
            </w:pPr>
            <w:r w:rsidRPr="00E66FDF">
              <w:rPr>
                <w:b w:val="0"/>
                <w:bCs w:val="0"/>
                <w:sz w:val="24"/>
              </w:rPr>
              <w:t>Basse</w:t>
            </w:r>
          </w:p>
        </w:tc>
        <w:tc>
          <w:tcPr>
            <w:tcW w:w="1317" w:type="dxa"/>
          </w:tcPr>
          <w:p w:rsidR="00E66FDF" w:rsidRPr="00E66FDF" w:rsidRDefault="00E66FDF" w:rsidP="00E66FDF">
            <w:pPr>
              <w:pStyle w:val="BodyText"/>
              <w:jc w:val="both"/>
              <w:rPr>
                <w:b w:val="0"/>
                <w:bCs w:val="0"/>
                <w:sz w:val="24"/>
              </w:rPr>
            </w:pPr>
            <w:r w:rsidRPr="00E66FDF">
              <w:rPr>
                <w:b w:val="0"/>
                <w:bCs w:val="0"/>
                <w:sz w:val="24"/>
              </w:rPr>
              <w:t>313.9</w:t>
            </w:r>
          </w:p>
        </w:tc>
        <w:tc>
          <w:tcPr>
            <w:tcW w:w="1317" w:type="dxa"/>
          </w:tcPr>
          <w:p w:rsidR="00E66FDF" w:rsidRPr="00E66FDF" w:rsidRDefault="00E66FDF" w:rsidP="00E66FDF">
            <w:pPr>
              <w:pStyle w:val="BodyText"/>
              <w:jc w:val="both"/>
              <w:rPr>
                <w:b w:val="0"/>
                <w:bCs w:val="0"/>
                <w:sz w:val="24"/>
              </w:rPr>
            </w:pPr>
            <w:r w:rsidRPr="00E66FDF">
              <w:rPr>
                <w:b w:val="0"/>
                <w:bCs w:val="0"/>
                <w:sz w:val="24"/>
              </w:rPr>
              <w:t>271.3</w:t>
            </w:r>
          </w:p>
        </w:tc>
        <w:tc>
          <w:tcPr>
            <w:tcW w:w="1301" w:type="dxa"/>
          </w:tcPr>
          <w:p w:rsidR="00E66FDF" w:rsidRPr="00E66FDF" w:rsidRDefault="00E66FDF" w:rsidP="00E66FDF">
            <w:pPr>
              <w:pStyle w:val="BodyText"/>
              <w:jc w:val="both"/>
              <w:rPr>
                <w:b w:val="0"/>
                <w:bCs w:val="0"/>
                <w:sz w:val="24"/>
              </w:rPr>
            </w:pPr>
            <w:r w:rsidRPr="00E66FDF">
              <w:rPr>
                <w:b w:val="0"/>
                <w:bCs w:val="0"/>
                <w:sz w:val="24"/>
              </w:rPr>
              <w:t>243.7</w:t>
            </w:r>
          </w:p>
        </w:tc>
        <w:tc>
          <w:tcPr>
            <w:tcW w:w="896" w:type="dxa"/>
            <w:tcBorders>
              <w:right w:val="single" w:sz="4" w:space="0" w:color="auto"/>
            </w:tcBorders>
          </w:tcPr>
          <w:p w:rsidR="00E66FDF" w:rsidRPr="00E66FDF" w:rsidRDefault="00E66FDF" w:rsidP="00E66FDF">
            <w:pPr>
              <w:pStyle w:val="BodyText"/>
              <w:jc w:val="both"/>
              <w:rPr>
                <w:b w:val="0"/>
                <w:bCs w:val="0"/>
                <w:sz w:val="24"/>
              </w:rPr>
            </w:pPr>
          </w:p>
        </w:tc>
        <w:tc>
          <w:tcPr>
            <w:tcW w:w="1017" w:type="dxa"/>
            <w:tcBorders>
              <w:left w:val="single" w:sz="4" w:space="0" w:color="auto"/>
            </w:tcBorders>
          </w:tcPr>
          <w:p w:rsidR="00E66FDF" w:rsidRPr="00BD64F1" w:rsidRDefault="00E66FDF" w:rsidP="00E66FDF">
            <w:pPr>
              <w:pStyle w:val="BodyText"/>
              <w:jc w:val="both"/>
              <w:rPr>
                <w:b w:val="0"/>
                <w:sz w:val="24"/>
              </w:rPr>
            </w:pPr>
            <w:r w:rsidRPr="00BD64F1">
              <w:rPr>
                <w:b w:val="0"/>
                <w:sz w:val="24"/>
              </w:rPr>
              <w:t>+42.6</w:t>
            </w:r>
          </w:p>
        </w:tc>
        <w:tc>
          <w:tcPr>
            <w:tcW w:w="896" w:type="dxa"/>
            <w:tcBorders>
              <w:right w:val="single" w:sz="4" w:space="0" w:color="auto"/>
            </w:tcBorders>
          </w:tcPr>
          <w:p w:rsidR="00E66FDF" w:rsidRPr="00BD64F1" w:rsidRDefault="00E66FDF" w:rsidP="00E66FDF">
            <w:pPr>
              <w:pStyle w:val="BodyText"/>
              <w:jc w:val="both"/>
              <w:rPr>
                <w:b w:val="0"/>
                <w:sz w:val="24"/>
              </w:rPr>
            </w:pPr>
          </w:p>
        </w:tc>
        <w:tc>
          <w:tcPr>
            <w:tcW w:w="1017" w:type="dxa"/>
            <w:tcBorders>
              <w:left w:val="single" w:sz="4" w:space="0" w:color="auto"/>
            </w:tcBorders>
          </w:tcPr>
          <w:p w:rsidR="00E66FDF" w:rsidRPr="00BD64F1" w:rsidRDefault="00E66FDF" w:rsidP="00E66FDF">
            <w:pPr>
              <w:pStyle w:val="BodyText"/>
              <w:jc w:val="both"/>
              <w:rPr>
                <w:b w:val="0"/>
                <w:sz w:val="24"/>
              </w:rPr>
            </w:pPr>
            <w:r w:rsidRPr="00BD64F1">
              <w:rPr>
                <w:b w:val="0"/>
                <w:sz w:val="24"/>
              </w:rPr>
              <w:t>+70.2</w:t>
            </w:r>
          </w:p>
        </w:tc>
      </w:tr>
      <w:tr w:rsidR="00E66FDF" w:rsidRPr="009E5A71" w:rsidTr="00E66FDF">
        <w:tc>
          <w:tcPr>
            <w:tcW w:w="1421" w:type="dxa"/>
          </w:tcPr>
          <w:p w:rsidR="00E66FDF" w:rsidRPr="00E66FDF" w:rsidRDefault="00E66FDF" w:rsidP="00E66FDF">
            <w:pPr>
              <w:pStyle w:val="BodyText"/>
              <w:jc w:val="both"/>
              <w:rPr>
                <w:b w:val="0"/>
                <w:bCs w:val="0"/>
                <w:sz w:val="24"/>
              </w:rPr>
            </w:pPr>
            <w:r w:rsidRPr="00E66FDF">
              <w:rPr>
                <w:b w:val="0"/>
                <w:bCs w:val="0"/>
                <w:sz w:val="24"/>
              </w:rPr>
              <w:t>Fatoto</w:t>
            </w:r>
          </w:p>
        </w:tc>
        <w:tc>
          <w:tcPr>
            <w:tcW w:w="1317" w:type="dxa"/>
          </w:tcPr>
          <w:p w:rsidR="00E66FDF" w:rsidRPr="00E66FDF" w:rsidRDefault="00E66FDF" w:rsidP="00E66FDF">
            <w:pPr>
              <w:pStyle w:val="BodyText"/>
              <w:jc w:val="both"/>
              <w:rPr>
                <w:b w:val="0"/>
                <w:bCs w:val="0"/>
                <w:sz w:val="24"/>
              </w:rPr>
            </w:pPr>
            <w:r w:rsidRPr="00E66FDF">
              <w:rPr>
                <w:b w:val="0"/>
                <w:bCs w:val="0"/>
                <w:sz w:val="24"/>
              </w:rPr>
              <w:t>304.9</w:t>
            </w:r>
          </w:p>
        </w:tc>
        <w:tc>
          <w:tcPr>
            <w:tcW w:w="1317" w:type="dxa"/>
          </w:tcPr>
          <w:p w:rsidR="00E66FDF" w:rsidRPr="00E66FDF" w:rsidRDefault="00E66FDF" w:rsidP="00E66FDF">
            <w:pPr>
              <w:pStyle w:val="BodyText"/>
              <w:jc w:val="both"/>
              <w:rPr>
                <w:b w:val="0"/>
                <w:bCs w:val="0"/>
                <w:sz w:val="24"/>
              </w:rPr>
            </w:pPr>
            <w:r w:rsidRPr="00E66FDF">
              <w:rPr>
                <w:b w:val="0"/>
                <w:bCs w:val="0"/>
                <w:sz w:val="24"/>
              </w:rPr>
              <w:t>165.0</w:t>
            </w:r>
          </w:p>
        </w:tc>
        <w:tc>
          <w:tcPr>
            <w:tcW w:w="1301" w:type="dxa"/>
          </w:tcPr>
          <w:p w:rsidR="00E66FDF" w:rsidRPr="00E66FDF" w:rsidRDefault="00E66FDF" w:rsidP="00E66FDF">
            <w:pPr>
              <w:pStyle w:val="BodyText"/>
              <w:jc w:val="both"/>
              <w:rPr>
                <w:b w:val="0"/>
                <w:bCs w:val="0"/>
                <w:sz w:val="24"/>
              </w:rPr>
            </w:pPr>
            <w:r w:rsidRPr="00E66FDF">
              <w:rPr>
                <w:b w:val="0"/>
                <w:bCs w:val="0"/>
                <w:sz w:val="24"/>
              </w:rPr>
              <w:t>236.8</w:t>
            </w:r>
          </w:p>
        </w:tc>
        <w:tc>
          <w:tcPr>
            <w:tcW w:w="896" w:type="dxa"/>
            <w:tcBorders>
              <w:right w:val="single" w:sz="4" w:space="0" w:color="auto"/>
            </w:tcBorders>
          </w:tcPr>
          <w:p w:rsidR="00E66FDF" w:rsidRPr="00E66FDF" w:rsidRDefault="00E66FDF" w:rsidP="00E66FDF">
            <w:pPr>
              <w:pStyle w:val="BodyText"/>
              <w:jc w:val="both"/>
              <w:rPr>
                <w:b w:val="0"/>
                <w:bCs w:val="0"/>
                <w:sz w:val="24"/>
              </w:rPr>
            </w:pPr>
          </w:p>
        </w:tc>
        <w:tc>
          <w:tcPr>
            <w:tcW w:w="1017" w:type="dxa"/>
            <w:tcBorders>
              <w:left w:val="single" w:sz="4" w:space="0" w:color="auto"/>
            </w:tcBorders>
          </w:tcPr>
          <w:p w:rsidR="00E66FDF" w:rsidRPr="00BD64F1" w:rsidRDefault="00E66FDF" w:rsidP="00E66FDF">
            <w:pPr>
              <w:pStyle w:val="BodyText"/>
              <w:jc w:val="both"/>
              <w:rPr>
                <w:b w:val="0"/>
                <w:sz w:val="24"/>
              </w:rPr>
            </w:pPr>
            <w:r w:rsidRPr="00BD64F1">
              <w:rPr>
                <w:b w:val="0"/>
                <w:sz w:val="24"/>
              </w:rPr>
              <w:t>+139.9</w:t>
            </w:r>
          </w:p>
        </w:tc>
        <w:tc>
          <w:tcPr>
            <w:tcW w:w="896" w:type="dxa"/>
            <w:tcBorders>
              <w:right w:val="single" w:sz="4" w:space="0" w:color="auto"/>
            </w:tcBorders>
          </w:tcPr>
          <w:p w:rsidR="00E66FDF" w:rsidRPr="00BD64F1" w:rsidRDefault="00E66FDF" w:rsidP="00E66FDF">
            <w:pPr>
              <w:pStyle w:val="BodyText"/>
              <w:jc w:val="both"/>
              <w:rPr>
                <w:b w:val="0"/>
                <w:sz w:val="24"/>
              </w:rPr>
            </w:pPr>
          </w:p>
        </w:tc>
        <w:tc>
          <w:tcPr>
            <w:tcW w:w="1017" w:type="dxa"/>
            <w:tcBorders>
              <w:left w:val="single" w:sz="4" w:space="0" w:color="auto"/>
            </w:tcBorders>
          </w:tcPr>
          <w:p w:rsidR="00E66FDF" w:rsidRPr="00BD64F1" w:rsidRDefault="00E66FDF" w:rsidP="00E66FDF">
            <w:pPr>
              <w:pStyle w:val="BodyText"/>
              <w:jc w:val="both"/>
              <w:rPr>
                <w:b w:val="0"/>
                <w:sz w:val="24"/>
              </w:rPr>
            </w:pPr>
            <w:r w:rsidRPr="00BD64F1">
              <w:rPr>
                <w:b w:val="0"/>
                <w:sz w:val="24"/>
              </w:rPr>
              <w:t>+68.1</w:t>
            </w:r>
          </w:p>
        </w:tc>
      </w:tr>
    </w:tbl>
    <w:p w:rsidR="00E66FDF" w:rsidRDefault="00E66FDF" w:rsidP="00E66FDF">
      <w:pPr>
        <w:pStyle w:val="BodyText"/>
        <w:jc w:val="both"/>
        <w:rPr>
          <w:bCs w:val="0"/>
          <w:sz w:val="24"/>
        </w:rPr>
      </w:pPr>
    </w:p>
    <w:p w:rsidR="00B04B1D" w:rsidRPr="00B04B1D" w:rsidRDefault="00B04B1D" w:rsidP="00B04B1D">
      <w:pPr>
        <w:rPr>
          <w:i/>
        </w:rPr>
      </w:pPr>
    </w:p>
    <w:p w:rsidR="00B04B1D" w:rsidRDefault="00B04B1D" w:rsidP="00B04B1D">
      <w:pPr>
        <w:jc w:val="both"/>
        <w:rPr>
          <w:b/>
          <w:bCs/>
        </w:rPr>
      </w:pPr>
    </w:p>
    <w:p w:rsidR="00F47F7A" w:rsidRPr="00D32534" w:rsidRDefault="00677BB8" w:rsidP="00CC5FAC">
      <w:pPr>
        <w:jc w:val="both"/>
        <w:rPr>
          <w:b/>
          <w:bCs/>
        </w:rPr>
      </w:pPr>
      <w:r w:rsidRPr="00D32534">
        <w:rPr>
          <w:b/>
          <w:bCs/>
        </w:rPr>
        <w:t>2.2 Temperature</w:t>
      </w:r>
      <w:r w:rsidR="00F47F7A" w:rsidRPr="00D32534">
        <w:rPr>
          <w:b/>
          <w:bCs/>
        </w:rPr>
        <w:tab/>
      </w:r>
    </w:p>
    <w:p w:rsidR="00F47F7A" w:rsidRPr="00D32534" w:rsidRDefault="00F47F7A" w:rsidP="00CC5FAC">
      <w:pPr>
        <w:jc w:val="both"/>
      </w:pPr>
    </w:p>
    <w:p w:rsidR="009B0F8C" w:rsidRPr="00D32534" w:rsidRDefault="0093061C" w:rsidP="00CC5FAC">
      <w:pPr>
        <w:jc w:val="both"/>
      </w:pPr>
      <w:r w:rsidRPr="00D32534">
        <w:t>Average temperature</w:t>
      </w:r>
      <w:r w:rsidR="00967687" w:rsidRPr="00D32534">
        <w:t xml:space="preserve">s across the country </w:t>
      </w:r>
      <w:r w:rsidRPr="00D32534">
        <w:t>va</w:t>
      </w:r>
      <w:r w:rsidR="00771ED7" w:rsidRPr="00D32534">
        <w:t xml:space="preserve">ried </w:t>
      </w:r>
      <w:r w:rsidR="00AF407F" w:rsidRPr="00D32534">
        <w:t>be</w:t>
      </w:r>
      <w:r w:rsidR="0070268E">
        <w:t>tween 26</w:t>
      </w:r>
      <w:r w:rsidR="000B3C5E" w:rsidRPr="00D32534">
        <w:rPr>
          <w:vertAlign w:val="superscript"/>
        </w:rPr>
        <w:t>o</w:t>
      </w:r>
      <w:r w:rsidR="000B3C5E" w:rsidRPr="00D32534">
        <w:t xml:space="preserve">C </w:t>
      </w:r>
      <w:r w:rsidRPr="00D32534">
        <w:t>and 3</w:t>
      </w:r>
      <w:r w:rsidR="003B79D7">
        <w:t>0</w:t>
      </w:r>
      <w:r w:rsidR="000B3C5E" w:rsidRPr="00D32534">
        <w:rPr>
          <w:vertAlign w:val="superscript"/>
        </w:rPr>
        <w:t>o</w:t>
      </w:r>
      <w:r w:rsidR="000B3C5E" w:rsidRPr="00D32534">
        <w:t xml:space="preserve">C. </w:t>
      </w:r>
      <w:r w:rsidR="0070268E">
        <w:t>Extreme minimum</w:t>
      </w:r>
      <w:r w:rsidR="00F47F7A" w:rsidRPr="00D32534">
        <w:t xml:space="preserve"> temperatures </w:t>
      </w:r>
      <w:r w:rsidR="0070268E">
        <w:t>were 27°C maximum in Sapu and Basse,</w:t>
      </w:r>
      <w:r w:rsidR="00BD64F1">
        <w:t xml:space="preserve"> </w:t>
      </w:r>
      <w:r w:rsidR="0070268E">
        <w:t>wh</w:t>
      </w:r>
      <w:r w:rsidR="00BD64F1">
        <w:t xml:space="preserve">ilst </w:t>
      </w:r>
      <w:r w:rsidR="0070268E">
        <w:t xml:space="preserve">extreme maximum temperature varied between </w:t>
      </w:r>
      <w:r w:rsidR="00D11C91">
        <w:t>32.0</w:t>
      </w:r>
      <w:r w:rsidR="00D11C91" w:rsidRPr="00D32534">
        <w:rPr>
          <w:vertAlign w:val="superscript"/>
        </w:rPr>
        <w:t>o</w:t>
      </w:r>
      <w:r w:rsidR="00D11C91" w:rsidRPr="00D32534">
        <w:t xml:space="preserve">C </w:t>
      </w:r>
      <w:r w:rsidR="0070268E">
        <w:t xml:space="preserve">to 40.0°C </w:t>
      </w:r>
      <w:r w:rsidR="00D11C91">
        <w:t>(</w:t>
      </w:r>
      <w:r w:rsidR="0070268E">
        <w:t>highest in Kaur</w:t>
      </w:r>
      <w:r w:rsidR="00D11C91">
        <w:t>)</w:t>
      </w:r>
      <w:r w:rsidR="0070268E">
        <w:t>.</w:t>
      </w:r>
      <w:r w:rsidR="00BD64F1">
        <w:t xml:space="preserve"> </w:t>
      </w:r>
      <w:r w:rsidR="00092260">
        <w:t xml:space="preserve">Minimum temperatures </w:t>
      </w:r>
      <w:r w:rsidR="00D11C91">
        <w:t>were lowest (</w:t>
      </w:r>
      <w:r w:rsidR="00092260">
        <w:t>20.6</w:t>
      </w:r>
      <w:r w:rsidR="003B79D7">
        <w:t>°C</w:t>
      </w:r>
      <w:r w:rsidR="00D11C91">
        <w:t xml:space="preserve">) over </w:t>
      </w:r>
      <w:r w:rsidR="003B79D7">
        <w:t>Banjul</w:t>
      </w:r>
      <w:r w:rsidR="00C626CA">
        <w:t xml:space="preserve"> along the coast </w:t>
      </w:r>
      <w:r w:rsidR="00D11C91">
        <w:t xml:space="preserve">and 27°C over </w:t>
      </w:r>
      <w:r w:rsidR="00092260">
        <w:t xml:space="preserve">Sapu in the Middle </w:t>
      </w:r>
      <w:r w:rsidR="00BD64F1">
        <w:t>T</w:t>
      </w:r>
      <w:r w:rsidR="00092260">
        <w:t>hird</w:t>
      </w:r>
      <w:r w:rsidR="003B79D7">
        <w:t xml:space="preserve"> of the </w:t>
      </w:r>
      <w:r w:rsidR="00C626CA">
        <w:t>country..</w:t>
      </w:r>
    </w:p>
    <w:p w:rsidR="009B0F8C" w:rsidRPr="00D32534" w:rsidRDefault="009B0F8C" w:rsidP="00CC5FAC">
      <w:pPr>
        <w:jc w:val="both"/>
      </w:pPr>
    </w:p>
    <w:p w:rsidR="00677BB8" w:rsidRPr="00D32534" w:rsidRDefault="00677BB8" w:rsidP="00CC5FAC">
      <w:pPr>
        <w:pStyle w:val="BodyText"/>
        <w:jc w:val="both"/>
        <w:rPr>
          <w:sz w:val="24"/>
        </w:rPr>
      </w:pPr>
      <w:r w:rsidRPr="00D32534">
        <w:rPr>
          <w:sz w:val="24"/>
        </w:rPr>
        <w:t>2.3 Winds</w:t>
      </w:r>
    </w:p>
    <w:p w:rsidR="00F47F7A" w:rsidRPr="00D32534" w:rsidRDefault="00F47F7A" w:rsidP="00CC5FAC">
      <w:pPr>
        <w:jc w:val="both"/>
        <w:rPr>
          <w:bCs/>
          <w:color w:val="FF0000"/>
        </w:rPr>
      </w:pPr>
    </w:p>
    <w:p w:rsidR="00F47F7A" w:rsidRPr="00D32534" w:rsidRDefault="00F47F7A" w:rsidP="00CC5FAC">
      <w:pPr>
        <w:jc w:val="both"/>
      </w:pPr>
      <w:r w:rsidRPr="00D32534">
        <w:t xml:space="preserve">Winds were generally </w:t>
      </w:r>
      <w:r w:rsidR="001C7DBB">
        <w:t>light</w:t>
      </w:r>
      <w:r w:rsidR="00375E26">
        <w:t xml:space="preserve"> to moderate</w:t>
      </w:r>
      <w:r w:rsidR="001C7DBB">
        <w:t xml:space="preserve"> across the country during this dekad with </w:t>
      </w:r>
      <w:r w:rsidR="00375E26">
        <w:t xml:space="preserve">the exception of Basse in the Eastern Third </w:t>
      </w:r>
      <w:r w:rsidR="00746892">
        <w:t xml:space="preserve">which </w:t>
      </w:r>
      <w:r w:rsidR="00375E26">
        <w:t>experienc</w:t>
      </w:r>
      <w:r w:rsidR="00746892">
        <w:t xml:space="preserve">ed </w:t>
      </w:r>
      <w:r w:rsidR="00375E26">
        <w:t xml:space="preserve">a </w:t>
      </w:r>
      <w:r w:rsidR="001C7DBB">
        <w:t xml:space="preserve">maximum </w:t>
      </w:r>
      <w:r w:rsidR="00375E26">
        <w:t>gust of 51</w:t>
      </w:r>
      <w:r w:rsidR="001C7DBB">
        <w:t xml:space="preserve">Km/h. </w:t>
      </w:r>
    </w:p>
    <w:tbl>
      <w:tblPr>
        <w:tblW w:w="960" w:type="dxa"/>
        <w:tblInd w:w="93" w:type="dxa"/>
        <w:tblLook w:val="04A0"/>
      </w:tblPr>
      <w:tblGrid>
        <w:gridCol w:w="960"/>
      </w:tblGrid>
      <w:tr w:rsidR="00AA79AD" w:rsidRPr="00AA79AD" w:rsidTr="00AA79AD">
        <w:trPr>
          <w:trHeight w:val="300"/>
        </w:trPr>
        <w:tc>
          <w:tcPr>
            <w:tcW w:w="960" w:type="dxa"/>
            <w:tcBorders>
              <w:top w:val="nil"/>
              <w:left w:val="nil"/>
              <w:bottom w:val="nil"/>
              <w:right w:val="nil"/>
            </w:tcBorders>
            <w:shd w:val="clear" w:color="auto" w:fill="auto"/>
            <w:noWrap/>
            <w:vAlign w:val="bottom"/>
            <w:hideMark/>
          </w:tcPr>
          <w:p w:rsidR="00AA79AD" w:rsidRPr="00AA79AD" w:rsidRDefault="00AA79AD" w:rsidP="00AA79AD">
            <w:pPr>
              <w:jc w:val="right"/>
              <w:rPr>
                <w:rFonts w:ascii="Calibri" w:hAnsi="Calibri"/>
                <w:color w:val="000000"/>
                <w:sz w:val="22"/>
                <w:szCs w:val="22"/>
              </w:rPr>
            </w:pPr>
          </w:p>
        </w:tc>
      </w:tr>
    </w:tbl>
    <w:p w:rsidR="00677BB8" w:rsidRPr="00D32534" w:rsidRDefault="008205B9" w:rsidP="00CC5FAC">
      <w:pPr>
        <w:jc w:val="both"/>
        <w:rPr>
          <w:b/>
          <w:bCs/>
        </w:rPr>
      </w:pPr>
      <w:r w:rsidRPr="00D32534">
        <w:rPr>
          <w:b/>
          <w:bCs/>
        </w:rPr>
        <w:t>2.4 Sunshine</w:t>
      </w:r>
      <w:r w:rsidR="00677BB8" w:rsidRPr="00D32534">
        <w:rPr>
          <w:b/>
          <w:bCs/>
        </w:rPr>
        <w:t xml:space="preserve"> Duration</w:t>
      </w:r>
    </w:p>
    <w:p w:rsidR="00C8018A" w:rsidRDefault="00C8018A" w:rsidP="00CC5FAC">
      <w:pPr>
        <w:jc w:val="both"/>
        <w:rPr>
          <w:bCs/>
        </w:rPr>
      </w:pPr>
    </w:p>
    <w:p w:rsidR="00677BB8" w:rsidRDefault="00B04A62" w:rsidP="00CC5FAC">
      <w:pPr>
        <w:jc w:val="both"/>
        <w:rPr>
          <w:bCs/>
        </w:rPr>
      </w:pPr>
      <w:r>
        <w:rPr>
          <w:bCs/>
        </w:rPr>
        <w:t>S</w:t>
      </w:r>
      <w:r w:rsidR="001C7DBB">
        <w:rPr>
          <w:bCs/>
        </w:rPr>
        <w:t>unshine duration</w:t>
      </w:r>
      <w:r w:rsidR="00587FBE">
        <w:rPr>
          <w:bCs/>
        </w:rPr>
        <w:t xml:space="preserve"> in this dekad</w:t>
      </w:r>
      <w:r w:rsidR="001C7DBB">
        <w:rPr>
          <w:bCs/>
        </w:rPr>
        <w:t xml:space="preserve"> varied between </w:t>
      </w:r>
      <w:r w:rsidR="00587FBE">
        <w:rPr>
          <w:bCs/>
        </w:rPr>
        <w:t xml:space="preserve">4 hours of sunlight in Sibanor </w:t>
      </w:r>
      <w:r w:rsidR="00746892">
        <w:rPr>
          <w:bCs/>
        </w:rPr>
        <w:t>(</w:t>
      </w:r>
      <w:r w:rsidR="00587FBE">
        <w:rPr>
          <w:bCs/>
        </w:rPr>
        <w:t>lowest</w:t>
      </w:r>
      <w:r w:rsidR="00746892">
        <w:rPr>
          <w:bCs/>
        </w:rPr>
        <w:t>)</w:t>
      </w:r>
      <w:r w:rsidR="00587FBE">
        <w:rPr>
          <w:bCs/>
        </w:rPr>
        <w:t xml:space="preserve"> to between 6</w:t>
      </w:r>
      <w:r w:rsidR="001C7DBB">
        <w:rPr>
          <w:bCs/>
        </w:rPr>
        <w:t xml:space="preserve"> and</w:t>
      </w:r>
      <w:r w:rsidR="00D569FB" w:rsidRPr="00D32534">
        <w:rPr>
          <w:bCs/>
        </w:rPr>
        <w:t xml:space="preserve"> </w:t>
      </w:r>
      <w:r w:rsidR="00591542">
        <w:rPr>
          <w:bCs/>
        </w:rPr>
        <w:t>7</w:t>
      </w:r>
      <w:r w:rsidR="001C7DBB">
        <w:rPr>
          <w:bCs/>
        </w:rPr>
        <w:t xml:space="preserve"> </w:t>
      </w:r>
      <w:r w:rsidR="00D569FB" w:rsidRPr="00D32534">
        <w:rPr>
          <w:bCs/>
        </w:rPr>
        <w:t>hours</w:t>
      </w:r>
      <w:r>
        <w:rPr>
          <w:bCs/>
        </w:rPr>
        <w:t xml:space="preserve"> </w:t>
      </w:r>
      <w:r w:rsidR="001C7DBB">
        <w:rPr>
          <w:bCs/>
        </w:rPr>
        <w:t xml:space="preserve"> </w:t>
      </w:r>
      <w:r w:rsidR="00587FBE">
        <w:rPr>
          <w:bCs/>
        </w:rPr>
        <w:t xml:space="preserve"> in other parts of the country</w:t>
      </w:r>
      <w:r>
        <w:rPr>
          <w:bCs/>
        </w:rPr>
        <w:t>.</w:t>
      </w:r>
    </w:p>
    <w:p w:rsidR="00AA34D8" w:rsidRPr="00D32534" w:rsidRDefault="00AA34D8" w:rsidP="00CC5FAC">
      <w:pPr>
        <w:jc w:val="both"/>
        <w:rPr>
          <w:bCs/>
        </w:rPr>
      </w:pPr>
    </w:p>
    <w:p w:rsidR="00677BB8" w:rsidRPr="00D32534" w:rsidRDefault="00677BB8" w:rsidP="00CC5FAC">
      <w:pPr>
        <w:jc w:val="both"/>
        <w:rPr>
          <w:b/>
          <w:bCs/>
        </w:rPr>
      </w:pPr>
      <w:r w:rsidRPr="00D32534">
        <w:rPr>
          <w:b/>
          <w:bCs/>
        </w:rPr>
        <w:t>2.5 Relative Humidity</w:t>
      </w:r>
    </w:p>
    <w:p w:rsidR="00677BB8" w:rsidRPr="00D32534" w:rsidRDefault="00677BB8" w:rsidP="00CC5FAC">
      <w:pPr>
        <w:jc w:val="both"/>
        <w:rPr>
          <w:b/>
          <w:bCs/>
        </w:rPr>
      </w:pPr>
    </w:p>
    <w:p w:rsidR="0012239A" w:rsidRPr="00D32534" w:rsidRDefault="00163518" w:rsidP="00CC5FAC">
      <w:pPr>
        <w:jc w:val="both"/>
      </w:pPr>
      <w:r>
        <w:t>Relative humidity during this dekad was</w:t>
      </w:r>
      <w:r w:rsidR="00B04A62">
        <w:t xml:space="preserve"> 31% lowest in </w:t>
      </w:r>
      <w:r w:rsidR="00746892">
        <w:t>J</w:t>
      </w:r>
      <w:r w:rsidR="00B04A62">
        <w:t>anjanbureh to above 90%</w:t>
      </w:r>
      <w:r w:rsidR="00746892">
        <w:t xml:space="preserve"> </w:t>
      </w:r>
      <w:r>
        <w:t>over the entire country.</w:t>
      </w:r>
    </w:p>
    <w:p w:rsidR="0012239A" w:rsidRPr="00D32534" w:rsidRDefault="0012239A" w:rsidP="00CC5FAC">
      <w:pPr>
        <w:jc w:val="both"/>
      </w:pPr>
    </w:p>
    <w:p w:rsidR="00677BB8" w:rsidRPr="00D32534" w:rsidRDefault="003851B3" w:rsidP="00CC5FAC">
      <w:pPr>
        <w:jc w:val="both"/>
        <w:rPr>
          <w:b/>
          <w:bCs/>
        </w:rPr>
      </w:pPr>
      <w:r w:rsidRPr="00D32534">
        <w:rPr>
          <w:b/>
          <w:bCs/>
        </w:rPr>
        <w:t>3.0 Hydrological Situation</w:t>
      </w:r>
    </w:p>
    <w:p w:rsidR="00677BB8" w:rsidRPr="00D32534" w:rsidRDefault="00D32534" w:rsidP="00CC5FAC">
      <w:pPr>
        <w:jc w:val="both"/>
        <w:rPr>
          <w:b/>
          <w:bCs/>
        </w:rPr>
      </w:pPr>
      <w:r w:rsidRPr="00D32534">
        <w:rPr>
          <w:b/>
          <w:bCs/>
        </w:rPr>
        <w:t>N/A</w:t>
      </w:r>
    </w:p>
    <w:p w:rsidR="00746892" w:rsidRPr="0065271D" w:rsidRDefault="00746892" w:rsidP="00CC5FAC">
      <w:pPr>
        <w:jc w:val="both"/>
        <w:rPr>
          <w:b/>
          <w:bCs/>
          <w:lang w:val="en-GB"/>
        </w:rPr>
      </w:pPr>
    </w:p>
    <w:p w:rsidR="00746892" w:rsidRDefault="00746892" w:rsidP="00CC5FAC">
      <w:pPr>
        <w:jc w:val="both"/>
        <w:rPr>
          <w:b/>
          <w:bCs/>
        </w:rPr>
      </w:pPr>
    </w:p>
    <w:p w:rsidR="00746892" w:rsidRDefault="00746892" w:rsidP="00CC5FAC">
      <w:pPr>
        <w:jc w:val="both"/>
        <w:rPr>
          <w:b/>
          <w:bCs/>
        </w:rPr>
      </w:pPr>
    </w:p>
    <w:p w:rsidR="00F47F7A" w:rsidRPr="00D32534" w:rsidRDefault="003851B3" w:rsidP="00CC5FAC">
      <w:pPr>
        <w:jc w:val="both"/>
        <w:rPr>
          <w:b/>
          <w:bCs/>
        </w:rPr>
      </w:pPr>
      <w:r w:rsidRPr="00D32534">
        <w:rPr>
          <w:b/>
          <w:bCs/>
        </w:rPr>
        <w:lastRenderedPageBreak/>
        <w:t>4.0</w:t>
      </w:r>
      <w:r w:rsidR="00677BB8" w:rsidRPr="00D32534">
        <w:rPr>
          <w:b/>
          <w:bCs/>
        </w:rPr>
        <w:t xml:space="preserve"> </w:t>
      </w:r>
      <w:r w:rsidR="00F47F7A" w:rsidRPr="00D32534">
        <w:rPr>
          <w:b/>
          <w:bCs/>
        </w:rPr>
        <w:t>AGRICULTURAL SITUATION</w:t>
      </w:r>
    </w:p>
    <w:p w:rsidR="00F47F7A" w:rsidRPr="00D32534" w:rsidRDefault="00F47F7A" w:rsidP="00CC5FAC">
      <w:pPr>
        <w:jc w:val="both"/>
      </w:pPr>
    </w:p>
    <w:p w:rsidR="00746892" w:rsidRPr="00746892" w:rsidRDefault="00746892" w:rsidP="00CC5FAC">
      <w:pPr>
        <w:jc w:val="both"/>
      </w:pPr>
      <w:r w:rsidRPr="00746892">
        <w:t xml:space="preserve">Farmers in the eastern parts of the country (Fatoto and Basse areas), where rains started earlier are busy weeding, elsewhere sowing of cereals in progress. </w:t>
      </w:r>
      <w:r>
        <w:t xml:space="preserve">However, groundnuts cultivation is beginning to be dilemma for farmers particularly   </w:t>
      </w:r>
    </w:p>
    <w:p w:rsidR="00746892" w:rsidRDefault="00746892" w:rsidP="00CC5FAC">
      <w:pPr>
        <w:jc w:val="both"/>
        <w:rPr>
          <w:color w:val="FF0000"/>
        </w:rPr>
      </w:pPr>
    </w:p>
    <w:p w:rsidR="0001385D" w:rsidRPr="00D32534" w:rsidRDefault="00C7284B" w:rsidP="00C7284B">
      <w:pPr>
        <w:tabs>
          <w:tab w:val="left" w:pos="8130"/>
        </w:tabs>
        <w:jc w:val="both"/>
      </w:pPr>
      <w:r w:rsidRPr="00D32534">
        <w:tab/>
      </w:r>
    </w:p>
    <w:p w:rsidR="00492611" w:rsidRDefault="003851B3" w:rsidP="00492611">
      <w:pPr>
        <w:tabs>
          <w:tab w:val="left" w:pos="8130"/>
        </w:tabs>
        <w:jc w:val="both"/>
        <w:rPr>
          <w:b/>
        </w:rPr>
      </w:pPr>
      <w:r w:rsidRPr="00492611">
        <w:rPr>
          <w:b/>
        </w:rPr>
        <w:t>4</w:t>
      </w:r>
      <w:r w:rsidR="00C7284B" w:rsidRPr="00492611">
        <w:rPr>
          <w:b/>
        </w:rPr>
        <w:t xml:space="preserve">.1 </w:t>
      </w:r>
      <w:r w:rsidR="001C67D0" w:rsidRPr="00492611">
        <w:rPr>
          <w:b/>
        </w:rPr>
        <w:t>COMMODITY PRICES</w:t>
      </w:r>
    </w:p>
    <w:p w:rsidR="0065271D" w:rsidRDefault="0065271D" w:rsidP="00492611">
      <w:pPr>
        <w:tabs>
          <w:tab w:val="left" w:pos="8130"/>
        </w:tabs>
        <w:jc w:val="both"/>
        <w:rPr>
          <w:b/>
        </w:rPr>
      </w:pPr>
    </w:p>
    <w:p w:rsidR="0065271D" w:rsidRPr="00886ECC" w:rsidRDefault="00886ECC" w:rsidP="00492611">
      <w:pPr>
        <w:tabs>
          <w:tab w:val="left" w:pos="8130"/>
        </w:tabs>
        <w:jc w:val="both"/>
        <w:rPr>
          <w:bCs/>
        </w:rPr>
      </w:pPr>
      <w:r>
        <w:rPr>
          <w:bCs/>
        </w:rPr>
        <w:t>The t</w:t>
      </w:r>
      <w:r w:rsidRPr="00886ECC">
        <w:rPr>
          <w:bCs/>
        </w:rPr>
        <w:t xml:space="preserve">able </w:t>
      </w:r>
      <w:r>
        <w:rPr>
          <w:bCs/>
        </w:rPr>
        <w:t xml:space="preserve">below </w:t>
      </w:r>
      <w:r w:rsidRPr="00886ECC">
        <w:rPr>
          <w:bCs/>
        </w:rPr>
        <w:t>show average commodity prices of different markets in the Greater Banjul Area and the North Bank Region</w:t>
      </w:r>
      <w:r>
        <w:rPr>
          <w:bCs/>
        </w:rPr>
        <w:t>.</w:t>
      </w:r>
    </w:p>
    <w:p w:rsidR="00953DDC" w:rsidRPr="00492611" w:rsidRDefault="001C67D0" w:rsidP="00492611">
      <w:pPr>
        <w:tabs>
          <w:tab w:val="left" w:pos="8130"/>
        </w:tabs>
        <w:jc w:val="both"/>
        <w:rPr>
          <w:sz w:val="16"/>
          <w:szCs w:val="16"/>
        </w:rPr>
      </w:pPr>
      <w:r w:rsidRPr="00492611">
        <w:rPr>
          <w:sz w:val="16"/>
          <w:szCs w:val="16"/>
        </w:rPr>
        <w:t xml:space="preserve">     </w:t>
      </w:r>
    </w:p>
    <w:p w:rsidR="0065271D" w:rsidRDefault="0065271D" w:rsidP="0065271D">
      <w:pPr>
        <w:rPr>
          <w:rFonts w:ascii="Arial Black" w:hAnsi="Arial Black"/>
          <w:b/>
          <w:lang w:val="en-GB"/>
        </w:rPr>
      </w:pPr>
      <w:r w:rsidRPr="0065271D">
        <w:rPr>
          <w:b/>
          <w:bCs/>
          <w:color w:val="000000" w:themeColor="text1"/>
        </w:rPr>
        <w:t xml:space="preserve">Table 2: </w:t>
      </w:r>
      <w:r w:rsidRPr="0065271D">
        <w:rPr>
          <w:b/>
          <w:bCs/>
          <w:color w:val="000000" w:themeColor="text1"/>
          <w:lang w:val="en-GB"/>
        </w:rPr>
        <w:t xml:space="preserve">  Average comm0dity prices for the 2</w:t>
      </w:r>
      <w:r w:rsidRPr="0065271D">
        <w:rPr>
          <w:b/>
          <w:bCs/>
          <w:color w:val="000000" w:themeColor="text1"/>
          <w:vertAlign w:val="superscript"/>
          <w:lang w:val="en-GB"/>
        </w:rPr>
        <w:t>nd</w:t>
      </w:r>
      <w:r w:rsidRPr="0065271D">
        <w:rPr>
          <w:b/>
          <w:bCs/>
          <w:color w:val="000000" w:themeColor="text1"/>
          <w:lang w:val="en-GB"/>
        </w:rPr>
        <w:t xml:space="preserve"> Week of July (per KG in Dalasis) of selected markets-</w:t>
      </w:r>
      <w:bookmarkStart w:id="0" w:name="_GoBack"/>
      <w:bookmarkEnd w:id="0"/>
      <w:r w:rsidRPr="00E8570E">
        <w:rPr>
          <w:noProof/>
          <w:lang w:bidi="th-TH"/>
        </w:rPr>
        <w:drawing>
          <wp:inline distT="0" distB="0" distL="0" distR="0">
            <wp:extent cx="5732145" cy="5840456"/>
            <wp:effectExtent l="0" t="0" r="1905" b="825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5840456"/>
                    </a:xfrm>
                    <a:prstGeom prst="rect">
                      <a:avLst/>
                    </a:prstGeom>
                    <a:noFill/>
                    <a:ln>
                      <a:noFill/>
                    </a:ln>
                  </pic:spPr>
                </pic:pic>
              </a:graphicData>
            </a:graphic>
          </wp:inline>
        </w:drawing>
      </w:r>
    </w:p>
    <w:p w:rsidR="00886ECC" w:rsidRPr="00886ECC" w:rsidRDefault="00886ECC" w:rsidP="00886ECC">
      <w:pPr>
        <w:pStyle w:val="NoSpacing"/>
        <w:rPr>
          <w:rFonts w:ascii="Times New Roman" w:hAnsi="Times New Roman"/>
          <w:bCs/>
          <w:i/>
          <w:iCs/>
          <w:sz w:val="16"/>
          <w:lang w:val="en-CA"/>
        </w:rPr>
      </w:pPr>
      <w:r w:rsidRPr="00886ECC">
        <w:rPr>
          <w:rFonts w:ascii="Times New Roman" w:hAnsi="Times New Roman"/>
          <w:bCs/>
          <w:i/>
          <w:iCs/>
          <w:lang w:val="en-GB"/>
        </w:rPr>
        <w:t xml:space="preserve">Source: DOP </w:t>
      </w:r>
      <w:r w:rsidRPr="00886ECC">
        <w:rPr>
          <w:rFonts w:ascii="Times New Roman" w:hAnsi="Times New Roman"/>
          <w:bCs/>
          <w:i/>
          <w:iCs/>
          <w:sz w:val="16"/>
          <w:lang w:val="en-CA"/>
        </w:rPr>
        <w:t>: (+220)4225210/4228751 Mob: 9811288/7618921 Email: planningservices@moa.gov.gm</w:t>
      </w:r>
    </w:p>
    <w:p w:rsidR="0065271D" w:rsidRPr="00BA1C36" w:rsidRDefault="0065271D" w:rsidP="0065271D">
      <w:pPr>
        <w:rPr>
          <w:rFonts w:ascii="Arial Black" w:hAnsi="Arial Black"/>
          <w:b/>
          <w:lang w:val="en-GB"/>
        </w:rPr>
      </w:pPr>
    </w:p>
    <w:p w:rsidR="0065271D" w:rsidRDefault="0065271D" w:rsidP="0065271D">
      <w:pPr>
        <w:tabs>
          <w:tab w:val="left" w:pos="1110"/>
        </w:tabs>
        <w:rPr>
          <w:sz w:val="16"/>
          <w:szCs w:val="16"/>
        </w:rPr>
      </w:pPr>
    </w:p>
    <w:p w:rsidR="0065271D" w:rsidRDefault="0065271D" w:rsidP="0065271D">
      <w:pPr>
        <w:rPr>
          <w:sz w:val="16"/>
          <w:szCs w:val="16"/>
        </w:rPr>
      </w:pPr>
    </w:p>
    <w:p w:rsidR="0065271D" w:rsidRPr="008C1A63" w:rsidRDefault="0065271D" w:rsidP="0065271D">
      <w:pPr>
        <w:jc w:val="center"/>
        <w:rPr>
          <w:sz w:val="16"/>
          <w:szCs w:val="16"/>
        </w:rPr>
      </w:pPr>
    </w:p>
    <w:p w:rsidR="00953DDC" w:rsidRPr="00492611" w:rsidRDefault="00953DDC" w:rsidP="00953DDC">
      <w:pPr>
        <w:jc w:val="center"/>
        <w:rPr>
          <w:sz w:val="16"/>
          <w:szCs w:val="16"/>
        </w:rPr>
      </w:pPr>
    </w:p>
    <w:p w:rsidR="00C7284B" w:rsidRPr="00492611" w:rsidRDefault="00C7284B" w:rsidP="00C7284B">
      <w:pPr>
        <w:tabs>
          <w:tab w:val="left" w:pos="8130"/>
        </w:tabs>
        <w:jc w:val="both"/>
      </w:pPr>
    </w:p>
    <w:p w:rsidR="00C7284B" w:rsidRPr="00492611" w:rsidRDefault="001C67D0" w:rsidP="00C7284B">
      <w:pPr>
        <w:tabs>
          <w:tab w:val="left" w:pos="8130"/>
        </w:tabs>
        <w:jc w:val="both"/>
        <w:rPr>
          <w:b/>
        </w:rPr>
      </w:pPr>
      <w:r w:rsidRPr="00492611">
        <w:rPr>
          <w:b/>
        </w:rPr>
        <w:t>4.2 CROP PROTECTION</w:t>
      </w:r>
    </w:p>
    <w:p w:rsidR="00953DDC" w:rsidRPr="00492611" w:rsidRDefault="001C67D0" w:rsidP="00C7284B">
      <w:pPr>
        <w:tabs>
          <w:tab w:val="left" w:pos="8130"/>
        </w:tabs>
        <w:jc w:val="both"/>
      </w:pPr>
      <w:r w:rsidRPr="00492611">
        <w:t>N/</w:t>
      </w:r>
      <w:r>
        <w:t>A</w:t>
      </w:r>
    </w:p>
    <w:p w:rsidR="00953DDC" w:rsidRPr="00163518" w:rsidRDefault="00953DDC" w:rsidP="00C7284B">
      <w:pPr>
        <w:tabs>
          <w:tab w:val="left" w:pos="8130"/>
        </w:tabs>
        <w:jc w:val="both"/>
        <w:rPr>
          <w:b/>
          <w:color w:val="FF0000"/>
        </w:rPr>
      </w:pPr>
    </w:p>
    <w:p w:rsidR="00485697" w:rsidRDefault="00485697" w:rsidP="00C7284B">
      <w:pPr>
        <w:tabs>
          <w:tab w:val="left" w:pos="8130"/>
        </w:tabs>
        <w:jc w:val="both"/>
        <w:rPr>
          <w:b/>
        </w:rPr>
      </w:pPr>
    </w:p>
    <w:p w:rsidR="00C7284B" w:rsidRPr="00D32534" w:rsidRDefault="001C67D0" w:rsidP="00C7284B">
      <w:pPr>
        <w:tabs>
          <w:tab w:val="left" w:pos="8130"/>
        </w:tabs>
        <w:jc w:val="both"/>
        <w:rPr>
          <w:b/>
        </w:rPr>
      </w:pPr>
      <w:r w:rsidRPr="00D32534">
        <w:rPr>
          <w:b/>
        </w:rPr>
        <w:t>4.3 LIVESTOCK</w:t>
      </w:r>
    </w:p>
    <w:p w:rsidR="00D32534" w:rsidRPr="00D32534" w:rsidRDefault="001C67D0" w:rsidP="00D32534">
      <w:pPr>
        <w:tabs>
          <w:tab w:val="left" w:pos="8130"/>
        </w:tabs>
        <w:jc w:val="both"/>
      </w:pPr>
      <w:r w:rsidRPr="00D32534">
        <w:t>N/A</w:t>
      </w:r>
    </w:p>
    <w:p w:rsidR="001F678C" w:rsidRPr="00D32534" w:rsidRDefault="001F678C" w:rsidP="00C7284B">
      <w:pPr>
        <w:tabs>
          <w:tab w:val="left" w:pos="8130"/>
        </w:tabs>
        <w:jc w:val="both"/>
      </w:pPr>
    </w:p>
    <w:p w:rsidR="00126B6B" w:rsidRPr="00D32534" w:rsidRDefault="001C67D0" w:rsidP="00C7284B">
      <w:pPr>
        <w:tabs>
          <w:tab w:val="left" w:pos="8130"/>
        </w:tabs>
        <w:jc w:val="both"/>
        <w:rPr>
          <w:b/>
        </w:rPr>
      </w:pPr>
      <w:r w:rsidRPr="00D32534">
        <w:rPr>
          <w:b/>
        </w:rPr>
        <w:t>4.4 FISHERIES</w:t>
      </w:r>
    </w:p>
    <w:p w:rsidR="00D32534" w:rsidRPr="00D32534" w:rsidRDefault="001C67D0" w:rsidP="00D32534">
      <w:pPr>
        <w:tabs>
          <w:tab w:val="left" w:pos="8130"/>
        </w:tabs>
        <w:jc w:val="both"/>
      </w:pPr>
      <w:r w:rsidRPr="00D32534">
        <w:t>N/A</w:t>
      </w:r>
    </w:p>
    <w:p w:rsidR="0086428D" w:rsidRPr="00D32534" w:rsidRDefault="0086428D" w:rsidP="00C7284B">
      <w:pPr>
        <w:tabs>
          <w:tab w:val="left" w:pos="8130"/>
        </w:tabs>
        <w:jc w:val="both"/>
      </w:pPr>
    </w:p>
    <w:p w:rsidR="0086428D" w:rsidRPr="00D32534" w:rsidRDefault="0086428D" w:rsidP="00C7284B">
      <w:pPr>
        <w:tabs>
          <w:tab w:val="left" w:pos="8130"/>
        </w:tabs>
        <w:jc w:val="both"/>
      </w:pPr>
    </w:p>
    <w:p w:rsidR="0086428D" w:rsidRPr="00D32534" w:rsidRDefault="001C67D0" w:rsidP="00C7284B">
      <w:pPr>
        <w:tabs>
          <w:tab w:val="left" w:pos="8130"/>
        </w:tabs>
        <w:jc w:val="both"/>
        <w:rPr>
          <w:b/>
        </w:rPr>
      </w:pPr>
      <w:r w:rsidRPr="00D32534">
        <w:rPr>
          <w:b/>
        </w:rPr>
        <w:t>5.0 NATIONAL DISASTER MANAGEMENT AGENCY (NDMA)</w:t>
      </w:r>
    </w:p>
    <w:p w:rsidR="00D32534" w:rsidRPr="00D32534" w:rsidRDefault="001C67D0" w:rsidP="00D32534">
      <w:pPr>
        <w:tabs>
          <w:tab w:val="left" w:pos="8130"/>
        </w:tabs>
        <w:jc w:val="both"/>
      </w:pPr>
      <w:r w:rsidRPr="00D32534">
        <w:t>N/A</w:t>
      </w:r>
    </w:p>
    <w:p w:rsidR="0086428D" w:rsidRPr="00D32534" w:rsidRDefault="0086428D" w:rsidP="00C7284B">
      <w:pPr>
        <w:tabs>
          <w:tab w:val="left" w:pos="8130"/>
        </w:tabs>
        <w:jc w:val="both"/>
        <w:rPr>
          <w:b/>
        </w:rPr>
      </w:pPr>
    </w:p>
    <w:p w:rsidR="0086428D" w:rsidRPr="00D32534" w:rsidRDefault="001C67D0" w:rsidP="00C7284B">
      <w:pPr>
        <w:tabs>
          <w:tab w:val="left" w:pos="8130"/>
        </w:tabs>
        <w:jc w:val="both"/>
        <w:rPr>
          <w:b/>
        </w:rPr>
      </w:pPr>
      <w:r w:rsidRPr="00D32534">
        <w:rPr>
          <w:b/>
        </w:rPr>
        <w:t>6.0 NATIONAL ENVIRONMENT AGENCY (NEA)</w:t>
      </w:r>
    </w:p>
    <w:p w:rsidR="00D32534" w:rsidRPr="00D32534" w:rsidRDefault="001C67D0" w:rsidP="00D32534">
      <w:pPr>
        <w:tabs>
          <w:tab w:val="left" w:pos="8130"/>
        </w:tabs>
        <w:jc w:val="both"/>
      </w:pPr>
      <w:r w:rsidRPr="00D32534">
        <w:t>N/A</w:t>
      </w:r>
    </w:p>
    <w:p w:rsidR="00D32534" w:rsidRPr="00D32534" w:rsidRDefault="00D32534" w:rsidP="00C7284B">
      <w:pPr>
        <w:tabs>
          <w:tab w:val="left" w:pos="8130"/>
        </w:tabs>
        <w:jc w:val="both"/>
      </w:pPr>
    </w:p>
    <w:p w:rsidR="0001385D" w:rsidRPr="00D32534" w:rsidRDefault="0001385D" w:rsidP="00CC5FAC">
      <w:pPr>
        <w:jc w:val="both"/>
      </w:pPr>
    </w:p>
    <w:p w:rsidR="0001385D" w:rsidRPr="00D32534" w:rsidRDefault="00D32534" w:rsidP="00CC5FAC">
      <w:pPr>
        <w:jc w:val="both"/>
      </w:pPr>
      <w:r w:rsidRPr="00D32534">
        <w:t xml:space="preserve">Banjul </w:t>
      </w:r>
      <w:r w:rsidR="00492611">
        <w:t xml:space="preserve">July </w:t>
      </w:r>
      <w:r w:rsidR="006F369D">
        <w:t>2</w:t>
      </w:r>
      <w:r w:rsidR="00886ECC">
        <w:t>23</w:t>
      </w:r>
      <w:r w:rsidR="00886ECC" w:rsidRPr="00886ECC">
        <w:rPr>
          <w:vertAlign w:val="superscript"/>
        </w:rPr>
        <w:t>rd</w:t>
      </w:r>
      <w:r w:rsidR="00886ECC">
        <w:t xml:space="preserve"> </w:t>
      </w:r>
      <w:r w:rsidR="00CC4925" w:rsidRPr="00D32534">
        <w:t>2014</w:t>
      </w:r>
    </w:p>
    <w:p w:rsidR="00CC4925" w:rsidRPr="00D32534" w:rsidRDefault="00841EC4" w:rsidP="00CC5FAC">
      <w:pPr>
        <w:jc w:val="both"/>
      </w:pPr>
      <w:r>
        <w:br/>
      </w:r>
      <w:r w:rsidR="00CC4925" w:rsidRPr="00D32534">
        <w:t>N</w:t>
      </w:r>
      <w:r w:rsidR="001B504A" w:rsidRPr="00D32534">
        <w:t xml:space="preserve">ational </w:t>
      </w:r>
      <w:r w:rsidR="00CC4925" w:rsidRPr="00D32534">
        <w:t>MWG of The Gambia</w:t>
      </w:r>
    </w:p>
    <w:p w:rsidR="00F47F7A" w:rsidRPr="00D32534" w:rsidRDefault="00F47F7A" w:rsidP="00CC5FAC">
      <w:pPr>
        <w:jc w:val="both"/>
      </w:pPr>
    </w:p>
    <w:tbl>
      <w:tblPr>
        <w:tblW w:w="0" w:type="auto"/>
        <w:jc w:val="center"/>
        <w:tblInd w:w="-332" w:type="dxa"/>
        <w:tblBorders>
          <w:top w:val="single" w:sz="36" w:space="0" w:color="FF0000"/>
          <w:left w:val="single" w:sz="36" w:space="0" w:color="0000FF"/>
          <w:bottom w:val="single" w:sz="36" w:space="0" w:color="008000"/>
          <w:right w:val="single" w:sz="36" w:space="0" w:color="0000FF"/>
        </w:tblBorders>
        <w:tblLayout w:type="fixed"/>
        <w:tblLook w:val="0000"/>
      </w:tblPr>
      <w:tblGrid>
        <w:gridCol w:w="5389"/>
        <w:gridCol w:w="4525"/>
      </w:tblGrid>
      <w:tr w:rsidR="00F47F7A" w:rsidRPr="00D32534">
        <w:trPr>
          <w:trHeight w:val="1592"/>
          <w:jc w:val="center"/>
        </w:trPr>
        <w:tc>
          <w:tcPr>
            <w:tcW w:w="5389" w:type="dxa"/>
            <w:tcBorders>
              <w:right w:val="single" w:sz="36" w:space="0" w:color="0000FF"/>
            </w:tcBorders>
          </w:tcPr>
          <w:p w:rsidR="00F47F7A" w:rsidRPr="00D32534" w:rsidRDefault="00F47F7A" w:rsidP="00CC5FAC">
            <w:pPr>
              <w:rPr>
                <w:b/>
              </w:rPr>
            </w:pPr>
            <w:r w:rsidRPr="00D32534">
              <w:rPr>
                <w:b/>
              </w:rPr>
              <w:t>Composition of MWG:</w:t>
            </w:r>
          </w:p>
          <w:p w:rsidR="00F47F7A" w:rsidRPr="00D32534" w:rsidRDefault="00F47F7A" w:rsidP="00CC5FAC">
            <w:r w:rsidRPr="00D32534">
              <w:t xml:space="preserve">          Department of Water Resources</w:t>
            </w:r>
          </w:p>
          <w:p w:rsidR="00F47F7A" w:rsidRPr="00D32534" w:rsidRDefault="00F47F7A" w:rsidP="00CC5FAC">
            <w:r w:rsidRPr="00D32534">
              <w:t xml:space="preserve">          Planning Services - Department of Agriculture (DOA)</w:t>
            </w:r>
          </w:p>
          <w:p w:rsidR="00F47F7A" w:rsidRPr="00D32534" w:rsidRDefault="00F47F7A" w:rsidP="00CC5FAC">
            <w:r w:rsidRPr="00D32534">
              <w:t xml:space="preserve">          Communication, Extension &amp; Education Services - DOA              </w:t>
            </w:r>
          </w:p>
          <w:p w:rsidR="00F47F7A" w:rsidRPr="00D32534" w:rsidRDefault="00F47F7A" w:rsidP="00CC5FAC">
            <w:r w:rsidRPr="00D32534">
              <w:t xml:space="preserve">          Animal Health &amp; Production Services - DOA</w:t>
            </w:r>
          </w:p>
          <w:p w:rsidR="00F47F7A" w:rsidRPr="00D32534" w:rsidRDefault="00F47F7A" w:rsidP="00CC5FAC">
            <w:r w:rsidRPr="00D32534">
              <w:t xml:space="preserve">          Plant Protection Services - DOA</w:t>
            </w:r>
          </w:p>
          <w:p w:rsidR="00F47F7A" w:rsidRPr="00D32534" w:rsidRDefault="00F47F7A" w:rsidP="00CC5FAC">
            <w:pPr>
              <w:pStyle w:val="Heading2"/>
              <w:spacing w:before="0" w:after="0"/>
              <w:rPr>
                <w:rFonts w:ascii="Times New Roman" w:hAnsi="Times New Roman" w:cs="Times New Roman"/>
                <w:i w:val="0"/>
                <w:sz w:val="24"/>
                <w:szCs w:val="24"/>
              </w:rPr>
            </w:pPr>
            <w:r w:rsidRPr="00D32534">
              <w:rPr>
                <w:rFonts w:ascii="Times New Roman" w:hAnsi="Times New Roman" w:cs="Times New Roman"/>
                <w:i w:val="0"/>
                <w:sz w:val="24"/>
                <w:szCs w:val="24"/>
              </w:rPr>
              <w:t xml:space="preserve">         </w:t>
            </w:r>
            <w:r w:rsidRPr="00D32534">
              <w:rPr>
                <w:rFonts w:ascii="Times New Roman" w:hAnsi="Times New Roman" w:cs="Times New Roman"/>
                <w:b w:val="0"/>
                <w:i w:val="0"/>
                <w:sz w:val="24"/>
                <w:szCs w:val="24"/>
              </w:rPr>
              <w:t>National Environment Agency</w:t>
            </w:r>
          </w:p>
        </w:tc>
        <w:tc>
          <w:tcPr>
            <w:tcW w:w="4525" w:type="dxa"/>
            <w:tcBorders>
              <w:top w:val="single" w:sz="36" w:space="0" w:color="FF0000"/>
              <w:left w:val="single" w:sz="36" w:space="0" w:color="0000FF"/>
              <w:bottom w:val="single" w:sz="36" w:space="0" w:color="008000"/>
            </w:tcBorders>
          </w:tcPr>
          <w:p w:rsidR="00F47F7A" w:rsidRPr="00D32534" w:rsidRDefault="00F47F7A" w:rsidP="00CC5FAC">
            <w:pPr>
              <w:pStyle w:val="Heading3"/>
              <w:spacing w:before="0" w:after="0"/>
              <w:jc w:val="both"/>
              <w:rPr>
                <w:rFonts w:ascii="Times New Roman" w:hAnsi="Times New Roman" w:cs="Times New Roman"/>
                <w:sz w:val="24"/>
                <w:szCs w:val="24"/>
              </w:rPr>
            </w:pPr>
            <w:r w:rsidRPr="00D32534">
              <w:rPr>
                <w:rFonts w:ascii="Times New Roman" w:hAnsi="Times New Roman" w:cs="Times New Roman"/>
                <w:sz w:val="24"/>
                <w:szCs w:val="24"/>
              </w:rPr>
              <w:t>Direct your comments and questions to:</w:t>
            </w:r>
          </w:p>
          <w:p w:rsidR="00F47F7A" w:rsidRPr="00D32534" w:rsidRDefault="00F47F7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The Director </w:t>
            </w:r>
          </w:p>
          <w:p w:rsidR="00F47F7A" w:rsidRPr="00D32534" w:rsidRDefault="00F47F7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Department of Water Resources</w:t>
            </w:r>
          </w:p>
          <w:p w:rsidR="00F47F7A" w:rsidRPr="00D32534" w:rsidRDefault="00F47F7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7 Marina Parade, Banjul</w:t>
            </w:r>
          </w:p>
          <w:p w:rsidR="00F47F7A" w:rsidRPr="00D32534" w:rsidRDefault="00F47F7A" w:rsidP="00CC5FAC">
            <w:pPr>
              <w:pStyle w:val="Heading3"/>
              <w:spacing w:before="0" w:after="0"/>
              <w:jc w:val="both"/>
              <w:rPr>
                <w:rFonts w:ascii="Times New Roman" w:hAnsi="Times New Roman" w:cs="Times New Roman"/>
                <w:b w:val="0"/>
                <w:sz w:val="24"/>
                <w:szCs w:val="24"/>
              </w:rPr>
            </w:pPr>
            <w:r w:rsidRPr="00D32534">
              <w:rPr>
                <w:rFonts w:ascii="Times New Roman" w:hAnsi="Times New Roman" w:cs="Times New Roman"/>
                <w:b w:val="0"/>
                <w:sz w:val="24"/>
                <w:szCs w:val="24"/>
              </w:rPr>
              <w:t xml:space="preserve">          The Gambia </w:t>
            </w:r>
          </w:p>
          <w:p w:rsidR="00F47F7A" w:rsidRPr="00D32534" w:rsidRDefault="00F47F7A" w:rsidP="00CC5FAC">
            <w:pPr>
              <w:rPr>
                <w:lang w:val="en-GB"/>
              </w:rPr>
            </w:pPr>
            <w:r w:rsidRPr="00D32534">
              <w:rPr>
                <w:lang w:val="en-GB"/>
              </w:rPr>
              <w:t xml:space="preserve">          Tel: </w:t>
            </w:r>
            <w:r w:rsidRPr="00D32534">
              <w:rPr>
                <w:b/>
                <w:lang w:val="en-GB"/>
              </w:rPr>
              <w:t xml:space="preserve">(+ 220) </w:t>
            </w:r>
            <w:r w:rsidRPr="00D32534">
              <w:rPr>
                <w:b/>
              </w:rPr>
              <w:t>422 76 31 / 422 41 22 / 890 52 29</w:t>
            </w:r>
          </w:p>
          <w:p w:rsidR="00F47F7A" w:rsidRPr="00D32534" w:rsidRDefault="00F47F7A" w:rsidP="00CC5FAC">
            <w:pPr>
              <w:rPr>
                <w:lang w:val="en-GB"/>
              </w:rPr>
            </w:pPr>
            <w:r w:rsidRPr="00D32534">
              <w:rPr>
                <w:lang w:val="en-GB"/>
              </w:rPr>
              <w:t xml:space="preserve">          Email: </w:t>
            </w:r>
            <w:hyperlink r:id="rId12" w:history="1">
              <w:r w:rsidRPr="00D32534">
                <w:rPr>
                  <w:rStyle w:val="Hyperlink"/>
                  <w:u w:val="none"/>
                  <w:lang w:val="en-GB"/>
                </w:rPr>
                <w:t>dwr@mofwrnam.gov.gm</w:t>
              </w:r>
            </w:hyperlink>
            <w:r w:rsidRPr="00D32534">
              <w:rPr>
                <w:lang w:val="en-GB"/>
              </w:rPr>
              <w:t xml:space="preserve"> </w:t>
            </w:r>
          </w:p>
        </w:tc>
      </w:tr>
    </w:tbl>
    <w:p w:rsidR="00F47F7A" w:rsidRPr="00D32534" w:rsidRDefault="00F47F7A" w:rsidP="00CC5FAC"/>
    <w:sectPr w:rsidR="00F47F7A" w:rsidRPr="00D32534" w:rsidSect="00571D26">
      <w:footerReference w:type="default" r:id="rId13"/>
      <w:type w:val="continuous"/>
      <w:pgSz w:w="12240" w:h="15840"/>
      <w:pgMar w:top="1152" w:right="1152" w:bottom="1152" w:left="1152" w:header="720" w:footer="720" w:gutter="0"/>
      <w:cols w:space="720" w:equalWidth="0">
        <w:col w:w="99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A0" w:rsidRDefault="006E23A0">
      <w:r>
        <w:separator/>
      </w:r>
    </w:p>
  </w:endnote>
  <w:endnote w:type="continuationSeparator" w:id="1">
    <w:p w:rsidR="006E23A0" w:rsidRDefault="006E2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7A" w:rsidRDefault="00F47F7A">
    <w:pPr>
      <w:pStyle w:val="Footer-Professional"/>
    </w:pPr>
    <w:r>
      <w:t xml:space="preserve">Early Warning Bulletin for Food Security in The Gambia                                                                       </w:t>
    </w:r>
    <w:r>
      <w:tab/>
    </w:r>
    <w:r>
      <w:tab/>
      <w:t xml:space="preserve">        </w:t>
    </w:r>
    <w:fldSimple w:instr=" PAGE ">
      <w:r w:rsidR="00886EC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A0" w:rsidRDefault="006E23A0">
      <w:r>
        <w:separator/>
      </w:r>
    </w:p>
  </w:footnote>
  <w:footnote w:type="continuationSeparator" w:id="1">
    <w:p w:rsidR="006E23A0" w:rsidRDefault="006E2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F3C"/>
    <w:multiLevelType w:val="multilevel"/>
    <w:tmpl w:val="78083F8A"/>
    <w:lvl w:ilvl="0">
      <w:start w:val="5"/>
      <w:numFmt w:val="decimal"/>
      <w:lvlText w:val="%1.0"/>
      <w:lvlJc w:val="left"/>
      <w:pPr>
        <w:tabs>
          <w:tab w:val="num" w:pos="450"/>
        </w:tabs>
        <w:ind w:left="450" w:hanging="450"/>
      </w:pPr>
      <w:rPr>
        <w:rFonts w:hint="default"/>
        <w:b/>
      </w:rPr>
    </w:lvl>
    <w:lvl w:ilvl="1">
      <w:start w:val="1"/>
      <w:numFmt w:val="decimal"/>
      <w:lvlText w:val="%1.%2"/>
      <w:lvlJc w:val="left"/>
      <w:pPr>
        <w:tabs>
          <w:tab w:val="num" w:pos="1170"/>
        </w:tabs>
        <w:ind w:left="1170" w:hanging="45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C1242E8"/>
    <w:multiLevelType w:val="hybridMultilevel"/>
    <w:tmpl w:val="128CE3A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13F365D"/>
    <w:multiLevelType w:val="multilevel"/>
    <w:tmpl w:val="AC26AEE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AA414CC"/>
    <w:multiLevelType w:val="multilevel"/>
    <w:tmpl w:val="2452A80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F7F57E5"/>
    <w:multiLevelType w:val="multilevel"/>
    <w:tmpl w:val="550049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ED52689"/>
    <w:multiLevelType w:val="multilevel"/>
    <w:tmpl w:val="15EE9D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FE63FAA"/>
    <w:multiLevelType w:val="hybridMultilevel"/>
    <w:tmpl w:val="3C40DA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81F2954"/>
    <w:multiLevelType w:val="multilevel"/>
    <w:tmpl w:val="15EE9D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B394B1E"/>
    <w:multiLevelType w:val="hybridMultilevel"/>
    <w:tmpl w:val="5D0274D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BE44D1"/>
    <w:multiLevelType w:val="hybridMultilevel"/>
    <w:tmpl w:val="87B4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5B2AFA"/>
    <w:multiLevelType w:val="multilevel"/>
    <w:tmpl w:val="DFFEC8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D66786E"/>
    <w:multiLevelType w:val="hybridMultilevel"/>
    <w:tmpl w:val="BA003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1"/>
  </w:num>
  <w:num w:numId="5">
    <w:abstractNumId w:val="9"/>
  </w:num>
  <w:num w:numId="6">
    <w:abstractNumId w:val="10"/>
  </w:num>
  <w:num w:numId="7">
    <w:abstractNumId w:val="8"/>
  </w:num>
  <w:num w:numId="8">
    <w:abstractNumId w:val="1"/>
  </w:num>
  <w:num w:numId="9">
    <w:abstractNumId w:val="3"/>
  </w:num>
  <w:num w:numId="10">
    <w:abstractNumId w:val="5"/>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ZA"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defaultTabStop w:val="720"/>
  <w:characterSpacingControl w:val="doNotCompress"/>
  <w:footnotePr>
    <w:footnote w:id="0"/>
    <w:footnote w:id="1"/>
  </w:footnotePr>
  <w:endnotePr>
    <w:endnote w:id="0"/>
    <w:endnote w:id="1"/>
  </w:endnotePr>
  <w:compat/>
  <w:rsids>
    <w:rsidRoot w:val="00162FF5"/>
    <w:rsid w:val="00011478"/>
    <w:rsid w:val="00012689"/>
    <w:rsid w:val="00013683"/>
    <w:rsid w:val="0001385D"/>
    <w:rsid w:val="00021D01"/>
    <w:rsid w:val="000361F1"/>
    <w:rsid w:val="00036697"/>
    <w:rsid w:val="00053740"/>
    <w:rsid w:val="00055174"/>
    <w:rsid w:val="00060702"/>
    <w:rsid w:val="00071126"/>
    <w:rsid w:val="00090B69"/>
    <w:rsid w:val="00092260"/>
    <w:rsid w:val="00096207"/>
    <w:rsid w:val="000B1BA5"/>
    <w:rsid w:val="000B3C5E"/>
    <w:rsid w:val="000D248F"/>
    <w:rsid w:val="000E235E"/>
    <w:rsid w:val="000F0AF1"/>
    <w:rsid w:val="00107F82"/>
    <w:rsid w:val="0012239A"/>
    <w:rsid w:val="00126B6B"/>
    <w:rsid w:val="00130640"/>
    <w:rsid w:val="00162FF5"/>
    <w:rsid w:val="00163518"/>
    <w:rsid w:val="001714D3"/>
    <w:rsid w:val="001908BF"/>
    <w:rsid w:val="001B504A"/>
    <w:rsid w:val="001B72B2"/>
    <w:rsid w:val="001C67D0"/>
    <w:rsid w:val="001C7990"/>
    <w:rsid w:val="001C7DBB"/>
    <w:rsid w:val="001D20B1"/>
    <w:rsid w:val="001D69EE"/>
    <w:rsid w:val="001F0391"/>
    <w:rsid w:val="001F39FA"/>
    <w:rsid w:val="001F678C"/>
    <w:rsid w:val="00212F4C"/>
    <w:rsid w:val="00227E27"/>
    <w:rsid w:val="00236CCD"/>
    <w:rsid w:val="00236D3C"/>
    <w:rsid w:val="00246E3E"/>
    <w:rsid w:val="00250BF0"/>
    <w:rsid w:val="002542D4"/>
    <w:rsid w:val="00256DC7"/>
    <w:rsid w:val="00271994"/>
    <w:rsid w:val="00273E5C"/>
    <w:rsid w:val="0028098B"/>
    <w:rsid w:val="0028359A"/>
    <w:rsid w:val="0028709A"/>
    <w:rsid w:val="002B7CDF"/>
    <w:rsid w:val="002C1982"/>
    <w:rsid w:val="002D089C"/>
    <w:rsid w:val="002D13BF"/>
    <w:rsid w:val="002E417B"/>
    <w:rsid w:val="002E63E2"/>
    <w:rsid w:val="002F3419"/>
    <w:rsid w:val="00311849"/>
    <w:rsid w:val="00313B2D"/>
    <w:rsid w:val="0032087D"/>
    <w:rsid w:val="0032104C"/>
    <w:rsid w:val="00332FE4"/>
    <w:rsid w:val="003530C8"/>
    <w:rsid w:val="00367350"/>
    <w:rsid w:val="003758E6"/>
    <w:rsid w:val="00375E26"/>
    <w:rsid w:val="00382A4A"/>
    <w:rsid w:val="003851B3"/>
    <w:rsid w:val="003913AB"/>
    <w:rsid w:val="003B2522"/>
    <w:rsid w:val="003B664A"/>
    <w:rsid w:val="003B79D7"/>
    <w:rsid w:val="003D5CE8"/>
    <w:rsid w:val="003E4071"/>
    <w:rsid w:val="003E528F"/>
    <w:rsid w:val="0040072D"/>
    <w:rsid w:val="0045719E"/>
    <w:rsid w:val="00480043"/>
    <w:rsid w:val="00483F15"/>
    <w:rsid w:val="00485697"/>
    <w:rsid w:val="00492611"/>
    <w:rsid w:val="004A5FC2"/>
    <w:rsid w:val="004A7699"/>
    <w:rsid w:val="004D3452"/>
    <w:rsid w:val="004F0A7B"/>
    <w:rsid w:val="004F4ACD"/>
    <w:rsid w:val="005065FD"/>
    <w:rsid w:val="00556728"/>
    <w:rsid w:val="005632B6"/>
    <w:rsid w:val="00571D26"/>
    <w:rsid w:val="00587FBE"/>
    <w:rsid w:val="00590B6D"/>
    <w:rsid w:val="00591542"/>
    <w:rsid w:val="005C286D"/>
    <w:rsid w:val="005C2AD3"/>
    <w:rsid w:val="005D12E8"/>
    <w:rsid w:val="005E1770"/>
    <w:rsid w:val="005E701A"/>
    <w:rsid w:val="005F582B"/>
    <w:rsid w:val="005F636B"/>
    <w:rsid w:val="00604603"/>
    <w:rsid w:val="006105AC"/>
    <w:rsid w:val="00627551"/>
    <w:rsid w:val="006361C1"/>
    <w:rsid w:val="0065271D"/>
    <w:rsid w:val="006560CD"/>
    <w:rsid w:val="00664A12"/>
    <w:rsid w:val="00675764"/>
    <w:rsid w:val="00676071"/>
    <w:rsid w:val="00677BB8"/>
    <w:rsid w:val="00687DE2"/>
    <w:rsid w:val="006945C3"/>
    <w:rsid w:val="00697781"/>
    <w:rsid w:val="006A1237"/>
    <w:rsid w:val="006A3BC1"/>
    <w:rsid w:val="006A5D7C"/>
    <w:rsid w:val="006A66A0"/>
    <w:rsid w:val="006C0885"/>
    <w:rsid w:val="006C19BF"/>
    <w:rsid w:val="006C6DB7"/>
    <w:rsid w:val="006E23A0"/>
    <w:rsid w:val="006F27A8"/>
    <w:rsid w:val="006F369D"/>
    <w:rsid w:val="0070268E"/>
    <w:rsid w:val="007073F1"/>
    <w:rsid w:val="00710AA8"/>
    <w:rsid w:val="00722114"/>
    <w:rsid w:val="0072344C"/>
    <w:rsid w:val="007336BB"/>
    <w:rsid w:val="0073482F"/>
    <w:rsid w:val="00737F6E"/>
    <w:rsid w:val="00746892"/>
    <w:rsid w:val="00746FC0"/>
    <w:rsid w:val="00765070"/>
    <w:rsid w:val="00771ED7"/>
    <w:rsid w:val="0077336A"/>
    <w:rsid w:val="007A74A6"/>
    <w:rsid w:val="007B02BB"/>
    <w:rsid w:val="007B56B5"/>
    <w:rsid w:val="007F3718"/>
    <w:rsid w:val="007F4293"/>
    <w:rsid w:val="007F686F"/>
    <w:rsid w:val="008118A7"/>
    <w:rsid w:val="008205B9"/>
    <w:rsid w:val="00820824"/>
    <w:rsid w:val="00832CC4"/>
    <w:rsid w:val="00832F1B"/>
    <w:rsid w:val="00841EC4"/>
    <w:rsid w:val="00850A5D"/>
    <w:rsid w:val="0086428D"/>
    <w:rsid w:val="008738E3"/>
    <w:rsid w:val="008814FF"/>
    <w:rsid w:val="00883B41"/>
    <w:rsid w:val="008855A1"/>
    <w:rsid w:val="00886ECC"/>
    <w:rsid w:val="0089667F"/>
    <w:rsid w:val="00897798"/>
    <w:rsid w:val="008B795D"/>
    <w:rsid w:val="008B7B51"/>
    <w:rsid w:val="008C074C"/>
    <w:rsid w:val="008C6A55"/>
    <w:rsid w:val="008F7176"/>
    <w:rsid w:val="00904E02"/>
    <w:rsid w:val="00913112"/>
    <w:rsid w:val="00924CCD"/>
    <w:rsid w:val="0093061C"/>
    <w:rsid w:val="009337E8"/>
    <w:rsid w:val="009378F0"/>
    <w:rsid w:val="00950DFF"/>
    <w:rsid w:val="00953DDC"/>
    <w:rsid w:val="00967687"/>
    <w:rsid w:val="00977FDB"/>
    <w:rsid w:val="009A7F18"/>
    <w:rsid w:val="009B0F8C"/>
    <w:rsid w:val="009B540E"/>
    <w:rsid w:val="009C22FE"/>
    <w:rsid w:val="009E5A71"/>
    <w:rsid w:val="00A12435"/>
    <w:rsid w:val="00A13863"/>
    <w:rsid w:val="00A32F83"/>
    <w:rsid w:val="00A350E1"/>
    <w:rsid w:val="00A402F2"/>
    <w:rsid w:val="00A50D9B"/>
    <w:rsid w:val="00A54D62"/>
    <w:rsid w:val="00A7710C"/>
    <w:rsid w:val="00A869B4"/>
    <w:rsid w:val="00AA34D8"/>
    <w:rsid w:val="00AA5295"/>
    <w:rsid w:val="00AA79AD"/>
    <w:rsid w:val="00AB49A0"/>
    <w:rsid w:val="00AD2579"/>
    <w:rsid w:val="00AD6FEF"/>
    <w:rsid w:val="00AF297B"/>
    <w:rsid w:val="00AF407F"/>
    <w:rsid w:val="00B04A62"/>
    <w:rsid w:val="00B04B1D"/>
    <w:rsid w:val="00B10FAD"/>
    <w:rsid w:val="00B112D3"/>
    <w:rsid w:val="00B25BEE"/>
    <w:rsid w:val="00B360BB"/>
    <w:rsid w:val="00B37535"/>
    <w:rsid w:val="00B45822"/>
    <w:rsid w:val="00B608B3"/>
    <w:rsid w:val="00BA2EBA"/>
    <w:rsid w:val="00BA726B"/>
    <w:rsid w:val="00BC5644"/>
    <w:rsid w:val="00BD64F1"/>
    <w:rsid w:val="00BE59C1"/>
    <w:rsid w:val="00BF1D2A"/>
    <w:rsid w:val="00BF5057"/>
    <w:rsid w:val="00C00D03"/>
    <w:rsid w:val="00C06A85"/>
    <w:rsid w:val="00C10769"/>
    <w:rsid w:val="00C14694"/>
    <w:rsid w:val="00C26CA4"/>
    <w:rsid w:val="00C35B95"/>
    <w:rsid w:val="00C4399C"/>
    <w:rsid w:val="00C546CA"/>
    <w:rsid w:val="00C62078"/>
    <w:rsid w:val="00C626CA"/>
    <w:rsid w:val="00C7223A"/>
    <w:rsid w:val="00C7284B"/>
    <w:rsid w:val="00C8018A"/>
    <w:rsid w:val="00C860A1"/>
    <w:rsid w:val="00CC4925"/>
    <w:rsid w:val="00CC5FAC"/>
    <w:rsid w:val="00CD4B53"/>
    <w:rsid w:val="00CD793B"/>
    <w:rsid w:val="00D00CBC"/>
    <w:rsid w:val="00D11C91"/>
    <w:rsid w:val="00D32534"/>
    <w:rsid w:val="00D340BC"/>
    <w:rsid w:val="00D569FB"/>
    <w:rsid w:val="00D620B4"/>
    <w:rsid w:val="00D76D4A"/>
    <w:rsid w:val="00D87C79"/>
    <w:rsid w:val="00D90655"/>
    <w:rsid w:val="00D91098"/>
    <w:rsid w:val="00D951FB"/>
    <w:rsid w:val="00DA27E2"/>
    <w:rsid w:val="00DB25FB"/>
    <w:rsid w:val="00DB58EA"/>
    <w:rsid w:val="00DB5F57"/>
    <w:rsid w:val="00DE21DD"/>
    <w:rsid w:val="00DE4B3A"/>
    <w:rsid w:val="00DE574B"/>
    <w:rsid w:val="00E023B2"/>
    <w:rsid w:val="00E02DE6"/>
    <w:rsid w:val="00E43D61"/>
    <w:rsid w:val="00E50E00"/>
    <w:rsid w:val="00E66FDF"/>
    <w:rsid w:val="00E94924"/>
    <w:rsid w:val="00EB40CB"/>
    <w:rsid w:val="00EC0132"/>
    <w:rsid w:val="00EC17E8"/>
    <w:rsid w:val="00EC273D"/>
    <w:rsid w:val="00EC28DC"/>
    <w:rsid w:val="00ED3DB7"/>
    <w:rsid w:val="00ED786C"/>
    <w:rsid w:val="00EF4B80"/>
    <w:rsid w:val="00EF5E5B"/>
    <w:rsid w:val="00F0352A"/>
    <w:rsid w:val="00F12DF3"/>
    <w:rsid w:val="00F270B6"/>
    <w:rsid w:val="00F350F4"/>
    <w:rsid w:val="00F423BE"/>
    <w:rsid w:val="00F47F7A"/>
    <w:rsid w:val="00F524B9"/>
    <w:rsid w:val="00F62E65"/>
    <w:rsid w:val="00F6303B"/>
    <w:rsid w:val="00F73FE9"/>
    <w:rsid w:val="00F74311"/>
    <w:rsid w:val="00F871D1"/>
    <w:rsid w:val="00FF31E4"/>
    <w:rsid w:val="00FF6D2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26"/>
    <w:rPr>
      <w:sz w:val="24"/>
      <w:szCs w:val="24"/>
      <w:lang w:bidi="ar-SA"/>
    </w:rPr>
  </w:style>
  <w:style w:type="paragraph" w:styleId="Heading1">
    <w:name w:val="heading 1"/>
    <w:basedOn w:val="Normal"/>
    <w:next w:val="Normal"/>
    <w:qFormat/>
    <w:rsid w:val="00571D26"/>
    <w:pPr>
      <w:keepNext/>
      <w:outlineLvl w:val="0"/>
    </w:pPr>
    <w:rPr>
      <w:b/>
      <w:szCs w:val="20"/>
      <w:u w:val="single"/>
    </w:rPr>
  </w:style>
  <w:style w:type="paragraph" w:styleId="Heading2">
    <w:name w:val="heading 2"/>
    <w:basedOn w:val="Normal"/>
    <w:next w:val="Normal"/>
    <w:qFormat/>
    <w:rsid w:val="00571D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1D26"/>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571D26"/>
    <w:pPr>
      <w:keepNext/>
      <w:spacing w:before="240" w:after="60"/>
      <w:outlineLvl w:val="3"/>
    </w:pPr>
    <w:rPr>
      <w:b/>
      <w:bCs/>
      <w:sz w:val="28"/>
      <w:szCs w:val="28"/>
    </w:rPr>
  </w:style>
  <w:style w:type="paragraph" w:styleId="Heading5">
    <w:name w:val="heading 5"/>
    <w:basedOn w:val="Normal"/>
    <w:next w:val="Normal"/>
    <w:qFormat/>
    <w:rsid w:val="00571D26"/>
    <w:pPr>
      <w:spacing w:before="240" w:after="60"/>
      <w:outlineLvl w:val="4"/>
    </w:pPr>
    <w:rPr>
      <w:b/>
      <w:bCs/>
      <w:i/>
      <w:iCs/>
      <w:sz w:val="26"/>
      <w:szCs w:val="26"/>
    </w:rPr>
  </w:style>
  <w:style w:type="paragraph" w:styleId="Heading6">
    <w:name w:val="heading 6"/>
    <w:basedOn w:val="Normal"/>
    <w:next w:val="Normal"/>
    <w:qFormat/>
    <w:rsid w:val="00571D26"/>
    <w:pPr>
      <w:spacing w:before="240" w:after="60"/>
      <w:outlineLvl w:val="5"/>
    </w:pPr>
    <w:rPr>
      <w:b/>
      <w:bCs/>
      <w:sz w:val="22"/>
      <w:szCs w:val="22"/>
    </w:rPr>
  </w:style>
  <w:style w:type="paragraph" w:styleId="Heading7">
    <w:name w:val="heading 7"/>
    <w:basedOn w:val="Normal"/>
    <w:next w:val="Normal"/>
    <w:qFormat/>
    <w:rsid w:val="00571D26"/>
    <w:pPr>
      <w:keepNext/>
      <w:jc w:val="both"/>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71D26"/>
    <w:rPr>
      <w:b/>
      <w:bCs/>
      <w:sz w:val="56"/>
    </w:rPr>
  </w:style>
  <w:style w:type="paragraph" w:customStyle="1" w:styleId="BodyText-Professional">
    <w:name w:val="Body Text - Professional"/>
    <w:basedOn w:val="Normal"/>
    <w:rsid w:val="00571D26"/>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rsid w:val="00571D26"/>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rsid w:val="00571D26"/>
    <w:pPr>
      <w:autoSpaceDE w:val="0"/>
      <w:autoSpaceDN w:val="0"/>
      <w:adjustRightInd w:val="0"/>
    </w:pPr>
    <w:rPr>
      <w:rFonts w:ascii="Tahoma" w:hAnsi="Tahoma" w:cs="Tahoma"/>
      <w:color w:val="000000"/>
      <w:sz w:val="24"/>
      <w:szCs w:val="24"/>
      <w:lang w:bidi="ar-SA"/>
    </w:rPr>
  </w:style>
  <w:style w:type="paragraph" w:customStyle="1" w:styleId="BodyFigure-Professional">
    <w:name w:val="Body Figure - Professional"/>
    <w:basedOn w:val="Default"/>
    <w:next w:val="Default"/>
    <w:rsid w:val="00571D26"/>
    <w:pPr>
      <w:spacing w:before="60"/>
    </w:pPr>
    <w:rPr>
      <w:rFonts w:cs="Times New Roman"/>
      <w:color w:val="auto"/>
    </w:rPr>
  </w:style>
  <w:style w:type="paragraph" w:styleId="Title">
    <w:name w:val="Title"/>
    <w:basedOn w:val="Normal"/>
    <w:qFormat/>
    <w:rsid w:val="00571D26"/>
    <w:pPr>
      <w:jc w:val="center"/>
    </w:pPr>
    <w:rPr>
      <w:b/>
      <w:bCs/>
      <w:u w:val="single"/>
    </w:rPr>
  </w:style>
  <w:style w:type="paragraph" w:styleId="Header">
    <w:name w:val="header"/>
    <w:basedOn w:val="Normal"/>
    <w:semiHidden/>
    <w:rsid w:val="00571D26"/>
    <w:pPr>
      <w:tabs>
        <w:tab w:val="center" w:pos="4320"/>
        <w:tab w:val="right" w:pos="8640"/>
      </w:tabs>
    </w:pPr>
  </w:style>
  <w:style w:type="paragraph" w:styleId="Footer">
    <w:name w:val="footer"/>
    <w:basedOn w:val="Normal"/>
    <w:semiHidden/>
    <w:rsid w:val="00571D26"/>
    <w:pPr>
      <w:tabs>
        <w:tab w:val="center" w:pos="4320"/>
        <w:tab w:val="right" w:pos="8640"/>
      </w:tabs>
    </w:pPr>
  </w:style>
  <w:style w:type="paragraph" w:customStyle="1" w:styleId="Footer-Professional">
    <w:name w:val="Footer - Professional"/>
    <w:basedOn w:val="Normal"/>
    <w:rsid w:val="00571D26"/>
    <w:pPr>
      <w:pBdr>
        <w:top w:val="single" w:sz="36" w:space="1" w:color="339966"/>
      </w:pBdr>
    </w:pPr>
    <w:rPr>
      <w:rFonts w:ascii="Arial Black" w:hAnsi="Arial Black" w:cs="Arial Black"/>
      <w:color w:val="339966"/>
      <w:sz w:val="16"/>
      <w:szCs w:val="16"/>
    </w:rPr>
  </w:style>
  <w:style w:type="paragraph" w:styleId="BodyTextIndent">
    <w:name w:val="Body Text Indent"/>
    <w:basedOn w:val="Normal"/>
    <w:semiHidden/>
    <w:rsid w:val="00571D26"/>
    <w:pPr>
      <w:spacing w:after="120"/>
      <w:ind w:left="360"/>
    </w:pPr>
  </w:style>
  <w:style w:type="paragraph" w:styleId="BodyText3">
    <w:name w:val="Body Text 3"/>
    <w:basedOn w:val="Normal"/>
    <w:semiHidden/>
    <w:rsid w:val="00571D26"/>
    <w:pPr>
      <w:jc w:val="both"/>
    </w:pPr>
    <w:rPr>
      <w:bCs/>
      <w:sz w:val="22"/>
      <w:szCs w:val="22"/>
    </w:rPr>
  </w:style>
  <w:style w:type="paragraph" w:styleId="BodyText2">
    <w:name w:val="Body Text 2"/>
    <w:basedOn w:val="Normal"/>
    <w:semiHidden/>
    <w:rsid w:val="00571D26"/>
    <w:pPr>
      <w:spacing w:after="120" w:line="480" w:lineRule="auto"/>
    </w:pPr>
  </w:style>
  <w:style w:type="character" w:customStyle="1" w:styleId="artcopy">
    <w:name w:val="artcopy"/>
    <w:basedOn w:val="DefaultParagraphFont"/>
    <w:rsid w:val="00571D26"/>
  </w:style>
  <w:style w:type="character" w:styleId="Hyperlink">
    <w:name w:val="Hyperlink"/>
    <w:semiHidden/>
    <w:rsid w:val="00571D26"/>
    <w:rPr>
      <w:color w:val="0000FF"/>
      <w:u w:val="single"/>
    </w:rPr>
  </w:style>
  <w:style w:type="character" w:styleId="FollowedHyperlink">
    <w:name w:val="FollowedHyperlink"/>
    <w:semiHidden/>
    <w:rsid w:val="00571D26"/>
    <w:rPr>
      <w:color w:val="800080"/>
      <w:u w:val="single"/>
    </w:rPr>
  </w:style>
  <w:style w:type="paragraph" w:styleId="BodyTextIndent2">
    <w:name w:val="Body Text Indent 2"/>
    <w:basedOn w:val="Normal"/>
    <w:semiHidden/>
    <w:rsid w:val="00571D26"/>
    <w:pPr>
      <w:ind w:left="360"/>
      <w:jc w:val="both"/>
    </w:pPr>
    <w:rPr>
      <w:sz w:val="22"/>
      <w:szCs w:val="22"/>
    </w:rPr>
  </w:style>
  <w:style w:type="paragraph" w:styleId="NoSpacing">
    <w:name w:val="No Spacing"/>
    <w:uiPriority w:val="1"/>
    <w:qFormat/>
    <w:rsid w:val="00953DDC"/>
    <w:rPr>
      <w:rFonts w:ascii="Calibri" w:eastAsia="Calibri" w:hAnsi="Calibri"/>
      <w:sz w:val="22"/>
      <w:szCs w:val="22"/>
      <w:lang w:bidi="ar-SA"/>
    </w:rPr>
  </w:style>
  <w:style w:type="paragraph" w:styleId="BalloonText">
    <w:name w:val="Balloon Text"/>
    <w:basedOn w:val="Normal"/>
    <w:link w:val="BalloonTextChar"/>
    <w:uiPriority w:val="99"/>
    <w:semiHidden/>
    <w:unhideWhenUsed/>
    <w:rsid w:val="00953DDC"/>
    <w:rPr>
      <w:rFonts w:ascii="Tahoma" w:hAnsi="Tahoma" w:cs="Tahoma"/>
      <w:sz w:val="16"/>
      <w:szCs w:val="16"/>
    </w:rPr>
  </w:style>
  <w:style w:type="character" w:customStyle="1" w:styleId="BalloonTextChar">
    <w:name w:val="Balloon Text Char"/>
    <w:basedOn w:val="DefaultParagraphFont"/>
    <w:link w:val="BalloonText"/>
    <w:uiPriority w:val="99"/>
    <w:semiHidden/>
    <w:rsid w:val="00953DDC"/>
    <w:rPr>
      <w:rFonts w:ascii="Tahoma" w:hAnsi="Tahoma" w:cs="Tahoma"/>
      <w:sz w:val="16"/>
      <w:szCs w:val="16"/>
    </w:rPr>
  </w:style>
  <w:style w:type="character" w:customStyle="1" w:styleId="to">
    <w:name w:val="to"/>
    <w:basedOn w:val="DefaultParagraphFont"/>
    <w:rsid w:val="00EC17E8"/>
  </w:style>
  <w:style w:type="character" w:customStyle="1" w:styleId="lozengfy">
    <w:name w:val="lozengfy"/>
    <w:basedOn w:val="DefaultParagraphFont"/>
    <w:rsid w:val="00EC17E8"/>
  </w:style>
  <w:style w:type="character" w:customStyle="1" w:styleId="thread-date">
    <w:name w:val="thread-date"/>
    <w:basedOn w:val="DefaultParagraphFont"/>
    <w:rsid w:val="00EC17E8"/>
  </w:style>
  <w:style w:type="character" w:customStyle="1" w:styleId="short">
    <w:name w:val="short"/>
    <w:basedOn w:val="DefaultParagraphFont"/>
    <w:rsid w:val="00EC17E8"/>
  </w:style>
  <w:style w:type="character" w:customStyle="1" w:styleId="ampm">
    <w:name w:val="ampm"/>
    <w:basedOn w:val="DefaultParagraphFont"/>
    <w:rsid w:val="00EC17E8"/>
  </w:style>
  <w:style w:type="table" w:styleId="TableGrid">
    <w:name w:val="Table Grid"/>
    <w:basedOn w:val="TableNormal"/>
    <w:uiPriority w:val="59"/>
    <w:rsid w:val="006F27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4589599">
      <w:bodyDiv w:val="1"/>
      <w:marLeft w:val="0"/>
      <w:marRight w:val="0"/>
      <w:marTop w:val="0"/>
      <w:marBottom w:val="0"/>
      <w:divBdr>
        <w:top w:val="none" w:sz="0" w:space="0" w:color="auto"/>
        <w:left w:val="none" w:sz="0" w:space="0" w:color="auto"/>
        <w:bottom w:val="none" w:sz="0" w:space="0" w:color="auto"/>
        <w:right w:val="none" w:sz="0" w:space="0" w:color="auto"/>
      </w:divBdr>
    </w:div>
    <w:div w:id="1269655575">
      <w:bodyDiv w:val="1"/>
      <w:marLeft w:val="0"/>
      <w:marRight w:val="0"/>
      <w:marTop w:val="0"/>
      <w:marBottom w:val="0"/>
      <w:divBdr>
        <w:top w:val="none" w:sz="0" w:space="0" w:color="auto"/>
        <w:left w:val="none" w:sz="0" w:space="0" w:color="auto"/>
        <w:bottom w:val="none" w:sz="0" w:space="0" w:color="auto"/>
        <w:right w:val="none" w:sz="0" w:space="0" w:color="auto"/>
      </w:divBdr>
      <w:divsChild>
        <w:div w:id="259603615">
          <w:marLeft w:val="0"/>
          <w:marRight w:val="0"/>
          <w:marTop w:val="0"/>
          <w:marBottom w:val="0"/>
          <w:divBdr>
            <w:top w:val="none" w:sz="0" w:space="0" w:color="auto"/>
            <w:left w:val="none" w:sz="0" w:space="0" w:color="auto"/>
            <w:bottom w:val="none" w:sz="0" w:space="0" w:color="auto"/>
            <w:right w:val="none" w:sz="0" w:space="0" w:color="auto"/>
          </w:divBdr>
          <w:divsChild>
            <w:div w:id="1234508889">
              <w:marLeft w:val="0"/>
              <w:marRight w:val="0"/>
              <w:marTop w:val="0"/>
              <w:marBottom w:val="0"/>
              <w:divBdr>
                <w:top w:val="none" w:sz="0" w:space="0" w:color="auto"/>
                <w:left w:val="none" w:sz="0" w:space="0" w:color="auto"/>
                <w:bottom w:val="none" w:sz="0" w:space="0" w:color="auto"/>
                <w:right w:val="none" w:sz="0" w:space="0" w:color="auto"/>
              </w:divBdr>
              <w:divsChild>
                <w:div w:id="760682072">
                  <w:marLeft w:val="0"/>
                  <w:marRight w:val="0"/>
                  <w:marTop w:val="0"/>
                  <w:marBottom w:val="0"/>
                  <w:divBdr>
                    <w:top w:val="none" w:sz="0" w:space="0" w:color="auto"/>
                    <w:left w:val="none" w:sz="0" w:space="0" w:color="auto"/>
                    <w:bottom w:val="none" w:sz="0" w:space="0" w:color="auto"/>
                    <w:right w:val="none" w:sz="0" w:space="0" w:color="auto"/>
                  </w:divBdr>
                  <w:divsChild>
                    <w:div w:id="1071925981">
                      <w:marLeft w:val="0"/>
                      <w:marRight w:val="0"/>
                      <w:marTop w:val="0"/>
                      <w:marBottom w:val="0"/>
                      <w:divBdr>
                        <w:top w:val="none" w:sz="0" w:space="0" w:color="auto"/>
                        <w:left w:val="none" w:sz="0" w:space="0" w:color="auto"/>
                        <w:bottom w:val="none" w:sz="0" w:space="0" w:color="auto"/>
                        <w:right w:val="none" w:sz="0" w:space="0" w:color="auto"/>
                      </w:divBdr>
                      <w:divsChild>
                        <w:div w:id="463356807">
                          <w:marLeft w:val="0"/>
                          <w:marRight w:val="0"/>
                          <w:marTop w:val="0"/>
                          <w:marBottom w:val="0"/>
                          <w:divBdr>
                            <w:top w:val="none" w:sz="0" w:space="0" w:color="auto"/>
                            <w:left w:val="none" w:sz="0" w:space="0" w:color="auto"/>
                            <w:bottom w:val="none" w:sz="0" w:space="0" w:color="auto"/>
                            <w:right w:val="none" w:sz="0" w:space="0" w:color="auto"/>
                          </w:divBdr>
                          <w:divsChild>
                            <w:div w:id="55206521">
                              <w:marLeft w:val="0"/>
                              <w:marRight w:val="0"/>
                              <w:marTop w:val="0"/>
                              <w:marBottom w:val="0"/>
                              <w:divBdr>
                                <w:top w:val="none" w:sz="0" w:space="0" w:color="auto"/>
                                <w:left w:val="none" w:sz="0" w:space="0" w:color="auto"/>
                                <w:bottom w:val="none" w:sz="0" w:space="0" w:color="auto"/>
                                <w:right w:val="none" w:sz="0" w:space="0" w:color="auto"/>
                              </w:divBdr>
                            </w:div>
                            <w:div w:id="189998974">
                              <w:marLeft w:val="0"/>
                              <w:marRight w:val="0"/>
                              <w:marTop w:val="0"/>
                              <w:marBottom w:val="0"/>
                              <w:divBdr>
                                <w:top w:val="none" w:sz="0" w:space="0" w:color="auto"/>
                                <w:left w:val="none" w:sz="0" w:space="0" w:color="auto"/>
                                <w:bottom w:val="none" w:sz="0" w:space="0" w:color="auto"/>
                                <w:right w:val="none" w:sz="0" w:space="0" w:color="auto"/>
                              </w:divBdr>
                            </w:div>
                            <w:div w:id="344207593">
                              <w:marLeft w:val="0"/>
                              <w:marRight w:val="0"/>
                              <w:marTop w:val="0"/>
                              <w:marBottom w:val="0"/>
                              <w:divBdr>
                                <w:top w:val="none" w:sz="0" w:space="0" w:color="auto"/>
                                <w:left w:val="none" w:sz="0" w:space="0" w:color="auto"/>
                                <w:bottom w:val="none" w:sz="0" w:space="0" w:color="auto"/>
                                <w:right w:val="none" w:sz="0" w:space="0" w:color="auto"/>
                              </w:divBdr>
                            </w:div>
                            <w:div w:id="638923813">
                              <w:marLeft w:val="0"/>
                              <w:marRight w:val="0"/>
                              <w:marTop w:val="0"/>
                              <w:marBottom w:val="0"/>
                              <w:divBdr>
                                <w:top w:val="none" w:sz="0" w:space="0" w:color="auto"/>
                                <w:left w:val="none" w:sz="0" w:space="0" w:color="auto"/>
                                <w:bottom w:val="none" w:sz="0" w:space="0" w:color="auto"/>
                                <w:right w:val="none" w:sz="0" w:space="0" w:color="auto"/>
                              </w:divBdr>
                            </w:div>
                            <w:div w:id="842431986">
                              <w:marLeft w:val="0"/>
                              <w:marRight w:val="0"/>
                              <w:marTop w:val="0"/>
                              <w:marBottom w:val="0"/>
                              <w:divBdr>
                                <w:top w:val="none" w:sz="0" w:space="0" w:color="auto"/>
                                <w:left w:val="none" w:sz="0" w:space="0" w:color="auto"/>
                                <w:bottom w:val="none" w:sz="0" w:space="0" w:color="auto"/>
                                <w:right w:val="none" w:sz="0" w:space="0" w:color="auto"/>
                              </w:divBdr>
                            </w:div>
                            <w:div w:id="1101418201">
                              <w:marLeft w:val="0"/>
                              <w:marRight w:val="0"/>
                              <w:marTop w:val="0"/>
                              <w:marBottom w:val="0"/>
                              <w:divBdr>
                                <w:top w:val="none" w:sz="0" w:space="0" w:color="auto"/>
                                <w:left w:val="none" w:sz="0" w:space="0" w:color="auto"/>
                                <w:bottom w:val="none" w:sz="0" w:space="0" w:color="auto"/>
                                <w:right w:val="none" w:sz="0" w:space="0" w:color="auto"/>
                              </w:divBdr>
                            </w:div>
                            <w:div w:id="1218323772">
                              <w:marLeft w:val="0"/>
                              <w:marRight w:val="0"/>
                              <w:marTop w:val="0"/>
                              <w:marBottom w:val="0"/>
                              <w:divBdr>
                                <w:top w:val="none" w:sz="0" w:space="0" w:color="auto"/>
                                <w:left w:val="none" w:sz="0" w:space="0" w:color="auto"/>
                                <w:bottom w:val="none" w:sz="0" w:space="0" w:color="auto"/>
                                <w:right w:val="none" w:sz="0" w:space="0" w:color="auto"/>
                              </w:divBdr>
                            </w:div>
                            <w:div w:id="1685859676">
                              <w:marLeft w:val="0"/>
                              <w:marRight w:val="0"/>
                              <w:marTop w:val="0"/>
                              <w:marBottom w:val="0"/>
                              <w:divBdr>
                                <w:top w:val="none" w:sz="0" w:space="0" w:color="auto"/>
                                <w:left w:val="none" w:sz="0" w:space="0" w:color="auto"/>
                                <w:bottom w:val="none" w:sz="0" w:space="0" w:color="auto"/>
                                <w:right w:val="none" w:sz="0" w:space="0" w:color="auto"/>
                              </w:divBdr>
                            </w:div>
                            <w:div w:id="1716467364">
                              <w:marLeft w:val="0"/>
                              <w:marRight w:val="0"/>
                              <w:marTop w:val="0"/>
                              <w:marBottom w:val="0"/>
                              <w:divBdr>
                                <w:top w:val="none" w:sz="0" w:space="0" w:color="auto"/>
                                <w:left w:val="none" w:sz="0" w:space="0" w:color="auto"/>
                                <w:bottom w:val="none" w:sz="0" w:space="0" w:color="auto"/>
                                <w:right w:val="none" w:sz="0" w:space="0" w:color="auto"/>
                              </w:divBdr>
                            </w:div>
                            <w:div w:id="18292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418077">
          <w:marLeft w:val="0"/>
          <w:marRight w:val="0"/>
          <w:marTop w:val="0"/>
          <w:marBottom w:val="0"/>
          <w:divBdr>
            <w:top w:val="none" w:sz="0" w:space="0" w:color="auto"/>
            <w:left w:val="none" w:sz="0" w:space="0" w:color="auto"/>
            <w:bottom w:val="none" w:sz="0" w:space="0" w:color="auto"/>
            <w:right w:val="none" w:sz="0" w:space="0" w:color="auto"/>
          </w:divBdr>
          <w:divsChild>
            <w:div w:id="1264997643">
              <w:marLeft w:val="0"/>
              <w:marRight w:val="0"/>
              <w:marTop w:val="0"/>
              <w:marBottom w:val="0"/>
              <w:divBdr>
                <w:top w:val="none" w:sz="0" w:space="0" w:color="auto"/>
                <w:left w:val="none" w:sz="0" w:space="0" w:color="auto"/>
                <w:bottom w:val="none" w:sz="0" w:space="0" w:color="auto"/>
                <w:right w:val="none" w:sz="0" w:space="0" w:color="auto"/>
              </w:divBdr>
            </w:div>
            <w:div w:id="1289432042">
              <w:marLeft w:val="0"/>
              <w:marRight w:val="0"/>
              <w:marTop w:val="0"/>
              <w:marBottom w:val="0"/>
              <w:divBdr>
                <w:top w:val="none" w:sz="0" w:space="0" w:color="auto"/>
                <w:left w:val="none" w:sz="0" w:space="0" w:color="auto"/>
                <w:bottom w:val="none" w:sz="0" w:space="0" w:color="auto"/>
                <w:right w:val="none" w:sz="0" w:space="0" w:color="auto"/>
              </w:divBdr>
              <w:divsChild>
                <w:div w:id="14164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wr@mofwrnam.gov.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Links>
    <vt:vector size="6" baseType="variant">
      <vt:variant>
        <vt:i4>7208976</vt:i4>
      </vt:variant>
      <vt:variant>
        <vt:i4>3</vt:i4>
      </vt:variant>
      <vt:variant>
        <vt:i4>0</vt:i4>
      </vt:variant>
      <vt:variant>
        <vt:i4>5</vt:i4>
      </vt:variant>
      <vt:variant>
        <vt:lpwstr>mailto:dwr@mofwrnam.gov.gm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2010-06-04T10:38:00Z</cp:lastPrinted>
  <dcterms:created xsi:type="dcterms:W3CDTF">2014-07-23T10:53:00Z</dcterms:created>
  <dcterms:modified xsi:type="dcterms:W3CDTF">2014-07-23T10:53:00Z</dcterms:modified>
</cp:coreProperties>
</file>